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783B47">
        <w:rPr>
          <w:color w:val="000000" w:themeColor="text1"/>
        </w:rPr>
        <w:t>02.11.</w:t>
      </w:r>
      <w:r w:rsidR="00051D65">
        <w:rPr>
          <w:color w:val="000000" w:themeColor="text1"/>
        </w:rPr>
        <w:t>2021</w:t>
      </w:r>
      <w:r w:rsidR="00037EE4" w:rsidRPr="0083555B">
        <w:rPr>
          <w:color w:val="000000" w:themeColor="text1"/>
        </w:rPr>
        <w:t xml:space="preserve"> г. № </w:t>
      </w:r>
      <w:r w:rsidR="00783B47">
        <w:rPr>
          <w:color w:val="000000" w:themeColor="text1"/>
        </w:rPr>
        <w:t>702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783B47">
        <w:rPr>
          <w:b/>
          <w:color w:val="000000" w:themeColor="text1"/>
        </w:rPr>
        <w:t>15</w:t>
      </w:r>
      <w:r w:rsidRPr="006E64AC">
        <w:rPr>
          <w:b/>
          <w:color w:val="000000" w:themeColor="text1"/>
        </w:rPr>
        <w:t xml:space="preserve">» </w:t>
      </w:r>
      <w:r w:rsidR="00783B47">
        <w:rPr>
          <w:b/>
          <w:color w:val="000000" w:themeColor="text1"/>
        </w:rPr>
        <w:t>декабря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 городское поселение город Ершов, г. Ершов, тер</w:t>
      </w:r>
      <w:r w:rsidR="000B7F2E">
        <w:t>ритория</w:t>
      </w:r>
      <w:r w:rsidR="00C017D9">
        <w:t xml:space="preserve"> ГСК Гудок, </w:t>
      </w:r>
      <w:proofErr w:type="spellStart"/>
      <w:r w:rsidR="00C017D9">
        <w:t>з</w:t>
      </w:r>
      <w:proofErr w:type="spellEnd"/>
      <w:r w:rsidR="00C017D9">
        <w:t xml:space="preserve">/у </w:t>
      </w:r>
      <w:r w:rsidR="00783B47">
        <w:t>49</w:t>
      </w:r>
      <w:r w:rsidR="00117664">
        <w:t>, кадастровый номер: 64:13:</w:t>
      </w:r>
      <w:r w:rsidR="00C017D9">
        <w:t>002401</w:t>
      </w:r>
      <w:r w:rsidR="00117664">
        <w:t>:</w:t>
      </w:r>
      <w:r w:rsidR="00C017D9">
        <w:t>1</w:t>
      </w:r>
      <w:r w:rsidR="00783B47">
        <w:t>269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E37CDE">
        <w:trPr>
          <w:trHeight w:val="70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</w:t>
      </w:r>
      <w:r w:rsidR="00783B47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свободная мощность существующих сетей 5</w:t>
      </w:r>
      <w:r w:rsidR="006A52A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 тер</w:t>
      </w:r>
      <w:r w:rsidR="000B7F2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</w:t>
      </w:r>
      <w:r w:rsidR="00783B47"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 тер</w:t>
      </w:r>
      <w:r w:rsidR="000B7F2E">
        <w:rPr>
          <w:rFonts w:ascii="Times New Roman" w:hAnsi="Times New Roman"/>
          <w:sz w:val="24"/>
          <w:szCs w:val="24"/>
        </w:rPr>
        <w:t>ритория</w:t>
      </w:r>
      <w:r>
        <w:rPr>
          <w:rFonts w:ascii="Times New Roman" w:hAnsi="Times New Roman"/>
          <w:sz w:val="24"/>
          <w:szCs w:val="24"/>
        </w:rPr>
        <w:t xml:space="preserve">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</w:t>
      </w:r>
      <w:r w:rsidR="00783B47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70529">
        <w:rPr>
          <w:rFonts w:ascii="Times New Roman" w:hAnsi="Times New Roman"/>
        </w:rPr>
        <w:t>6146,4</w:t>
      </w:r>
      <w:r>
        <w:rPr>
          <w:rFonts w:ascii="Times New Roman" w:hAnsi="Times New Roman"/>
        </w:rPr>
        <w:t xml:space="preserve"> руб.</w:t>
      </w:r>
    </w:p>
    <w:p w:rsidR="00E37CDE" w:rsidRDefault="00E37CDE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37CDE" w:rsidRDefault="00E37CDE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783B47">
        <w:t>9</w:t>
      </w:r>
      <w:r w:rsidR="00D76785">
        <w:t>00,00</w:t>
      </w:r>
      <w:r w:rsidR="00733974">
        <w:t xml:space="preserve"> (</w:t>
      </w:r>
      <w:r w:rsidR="00783B47">
        <w:t>девятьсот</w:t>
      </w:r>
      <w:r w:rsidR="00170529">
        <w:t xml:space="preserve">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ГУП «Саратовское областное бюро технической инвента</w:t>
      </w:r>
      <w:r w:rsidR="00D76785">
        <w:t>ризации и оценки недвижимости»),</w:t>
      </w:r>
    </w:p>
    <w:p w:rsidR="00D76785" w:rsidRDefault="00D76785" w:rsidP="004D757E">
      <w:pPr>
        <w:jc w:val="both"/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783B47">
        <w:rPr>
          <w:b/>
        </w:rPr>
        <w:t>27</w:t>
      </w:r>
      <w:r w:rsidR="00D76785" w:rsidRPr="00D76785">
        <w:t>,00</w:t>
      </w:r>
      <w:r w:rsidR="00170529" w:rsidRPr="00170529">
        <w:t xml:space="preserve"> (</w:t>
      </w:r>
      <w:r w:rsidR="00783B47">
        <w:t>двадцать семь</w:t>
      </w:r>
      <w:r w:rsidR="00170529" w:rsidRPr="00170529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783B47">
        <w:t>.</w:t>
      </w: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83B47">
        <w:rPr>
          <w:b/>
          <w:color w:val="000000" w:themeColor="text1"/>
        </w:rPr>
        <w:t>13</w:t>
      </w:r>
      <w:r w:rsidR="0046199D">
        <w:rPr>
          <w:b/>
          <w:color w:val="000000" w:themeColor="text1"/>
        </w:rPr>
        <w:t xml:space="preserve">» </w:t>
      </w:r>
      <w:r w:rsidR="00783B47">
        <w:rPr>
          <w:b/>
          <w:color w:val="000000" w:themeColor="text1"/>
        </w:rPr>
        <w:t>декабря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783B47">
        <w:rPr>
          <w:b/>
        </w:rPr>
        <w:t>14</w:t>
      </w:r>
      <w:r w:rsidR="00F24972" w:rsidRPr="006E64AC">
        <w:rPr>
          <w:b/>
          <w:color w:val="000000" w:themeColor="text1"/>
        </w:rPr>
        <w:t xml:space="preserve">» </w:t>
      </w:r>
      <w:r w:rsidR="00783B47">
        <w:rPr>
          <w:b/>
          <w:color w:val="000000" w:themeColor="text1"/>
        </w:rPr>
        <w:t>декабря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783B4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783B47">
        <w:rPr>
          <w:b/>
          <w:color w:val="000000" w:themeColor="text1"/>
        </w:rPr>
        <w:t>15</w:t>
      </w:r>
      <w:r w:rsidR="007A25B2">
        <w:rPr>
          <w:b/>
          <w:color w:val="000000" w:themeColor="text1"/>
        </w:rPr>
        <w:t xml:space="preserve">» </w:t>
      </w:r>
      <w:r w:rsidR="00783B47">
        <w:rPr>
          <w:b/>
          <w:color w:val="000000" w:themeColor="text1"/>
        </w:rPr>
        <w:t>декабря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CA1D5B">
        <w:t xml:space="preserve"> </w:t>
      </w:r>
      <w:r w:rsidR="00783B47">
        <w:t>540</w:t>
      </w:r>
      <w:r w:rsidR="00CA1D5B">
        <w:t>,00</w:t>
      </w:r>
      <w:r w:rsidRPr="00427EB7">
        <w:t xml:space="preserve"> (</w:t>
      </w:r>
      <w:r w:rsidR="00783B47">
        <w:t>пятьсот сорок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CA1D5B">
        <w:t>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lastRenderedPageBreak/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301903" w:rsidRDefault="00301903" w:rsidP="00AE761F">
      <w:pPr>
        <w:spacing w:line="240" w:lineRule="exact"/>
        <w:ind w:firstLine="426"/>
        <w:jc w:val="both"/>
        <w:rPr>
          <w:color w:val="000000"/>
        </w:rPr>
      </w:pP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E37CDE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</w:r>
    </w:p>
    <w:p w:rsidR="00E37CDE" w:rsidRDefault="00E37CDE" w:rsidP="00AE761F">
      <w:pPr>
        <w:spacing w:line="240" w:lineRule="exact"/>
        <w:ind w:firstLine="426"/>
        <w:jc w:val="both"/>
        <w:rPr>
          <w:color w:val="000000" w:themeColor="text1"/>
        </w:rPr>
      </w:pP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lastRenderedPageBreak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E37CDE" w:rsidRDefault="00E37CDE" w:rsidP="00F24972">
      <w:pPr>
        <w:jc w:val="both"/>
      </w:pPr>
    </w:p>
    <w:p w:rsidR="00E37CDE" w:rsidRDefault="00E37CDE" w:rsidP="00F24972">
      <w:pPr>
        <w:jc w:val="both"/>
      </w:pPr>
    </w:p>
    <w:p w:rsidR="00F24972" w:rsidRPr="00427EB7" w:rsidRDefault="00F24972" w:rsidP="00F24972">
      <w:pPr>
        <w:jc w:val="both"/>
      </w:pPr>
      <w:r w:rsidRPr="00427EB7">
        <w:lastRenderedPageBreak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                                          </w:t>
      </w: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lastRenderedPageBreak/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проведении аукциона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FD4030" w:rsidRPr="00FD4030" w:rsidRDefault="003703A7" w:rsidP="00301903">
      <w:pPr>
        <w:jc w:val="center"/>
      </w:pPr>
      <w:r>
        <w:t xml:space="preserve">                                                                </w:t>
      </w:r>
      <w:r w:rsidR="00FD4030"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 xml:space="preserve">. Саратов, БИК 016311121, КБК 70611105013050000120, ОКТМО </w:t>
      </w:r>
      <w:r w:rsidRPr="00783B47">
        <w:rPr>
          <w:color w:val="000000" w:themeColor="text1"/>
        </w:rPr>
        <w:t>63617457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lastRenderedPageBreak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8A3847">
        <w:tc>
          <w:tcPr>
            <w:tcW w:w="4785" w:type="dxa"/>
          </w:tcPr>
          <w:p w:rsidR="00783B47" w:rsidRPr="00783B47" w:rsidRDefault="00783B47" w:rsidP="008A3847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8A3847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8A3847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8A3847">
            <w:r w:rsidRPr="00783B47">
              <w:t>Тел. 8(84564)5-26-42</w:t>
            </w:r>
          </w:p>
          <w:p w:rsidR="00783B47" w:rsidRPr="00783B47" w:rsidRDefault="00783B47" w:rsidP="008A3847">
            <w:r w:rsidRPr="00783B47">
              <w:t xml:space="preserve">ИНН 6413003942 </w:t>
            </w:r>
          </w:p>
          <w:p w:rsidR="00783B47" w:rsidRPr="00783B47" w:rsidRDefault="00783B47" w:rsidP="008A3847">
            <w:r w:rsidRPr="00783B47">
              <w:t xml:space="preserve">БИК 046311001 </w:t>
            </w:r>
          </w:p>
          <w:p w:rsidR="00783B47" w:rsidRPr="00783B47" w:rsidRDefault="00783B47" w:rsidP="008A3847">
            <w:r w:rsidRPr="00783B47">
              <w:t xml:space="preserve">КПП 641301001 </w:t>
            </w:r>
          </w:p>
          <w:p w:rsidR="00783B47" w:rsidRPr="00783B47" w:rsidRDefault="00783B47" w:rsidP="008A3847"/>
        </w:tc>
        <w:tc>
          <w:tcPr>
            <w:tcW w:w="4786" w:type="dxa"/>
          </w:tcPr>
          <w:p w:rsidR="00783B47" w:rsidRPr="00783B47" w:rsidRDefault="00783B47" w:rsidP="008A3847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8A3847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8A3847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186E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37CDE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2021-11-02T10:12:00Z</cp:lastPrinted>
  <dcterms:created xsi:type="dcterms:W3CDTF">2021-11-02T10:14:00Z</dcterms:created>
  <dcterms:modified xsi:type="dcterms:W3CDTF">2021-11-09T13:24:00Z</dcterms:modified>
</cp:coreProperties>
</file>