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45" w:rsidRDefault="002B5645" w:rsidP="002B5645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C28" w:rsidRDefault="00612C28" w:rsidP="002B5645">
      <w:pPr>
        <w:keepNext/>
        <w:jc w:val="center"/>
      </w:pPr>
    </w:p>
    <w:p w:rsidR="002B5645" w:rsidRDefault="002B5645" w:rsidP="002B5645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2B5645" w:rsidRDefault="002B5645" w:rsidP="002B5645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2B5645" w:rsidRDefault="002B5645" w:rsidP="002B5645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B5645" w:rsidRDefault="002B5645" w:rsidP="002B5645">
      <w:pPr>
        <w:jc w:val="center"/>
        <w:rPr>
          <w:b/>
          <w:sz w:val="24"/>
        </w:rPr>
      </w:pPr>
    </w:p>
    <w:p w:rsidR="002B5645" w:rsidRDefault="002B5645" w:rsidP="002B564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2B5645" w:rsidRDefault="002B5645" w:rsidP="002B5645">
      <w:pPr>
        <w:jc w:val="center"/>
        <w:rPr>
          <w:sz w:val="22"/>
        </w:rPr>
      </w:pPr>
    </w:p>
    <w:p w:rsidR="002B5645" w:rsidRDefault="002B5645" w:rsidP="002B5645">
      <w:pPr>
        <w:rPr>
          <w:sz w:val="22"/>
        </w:rPr>
      </w:pPr>
      <w:r>
        <w:rPr>
          <w:sz w:val="22"/>
        </w:rPr>
        <w:t>от__</w:t>
      </w:r>
      <w:r w:rsidR="006563FF" w:rsidRPr="006563FF">
        <w:rPr>
          <w:sz w:val="28"/>
          <w:szCs w:val="28"/>
          <w:u w:val="single"/>
        </w:rPr>
        <w:t>01.07.2022</w:t>
      </w:r>
      <w:r>
        <w:rPr>
          <w:sz w:val="22"/>
        </w:rPr>
        <w:t>__________  № ___</w:t>
      </w:r>
      <w:r w:rsidR="006563FF" w:rsidRPr="006563FF">
        <w:rPr>
          <w:sz w:val="28"/>
          <w:szCs w:val="28"/>
          <w:u w:val="single"/>
        </w:rPr>
        <w:t>698</w:t>
      </w:r>
      <w:r>
        <w:rPr>
          <w:sz w:val="22"/>
        </w:rPr>
        <w:t>__________________</w:t>
      </w:r>
    </w:p>
    <w:p w:rsidR="002B5645" w:rsidRDefault="002B5645" w:rsidP="002B5645">
      <w:pPr>
        <w:jc w:val="center"/>
      </w:pPr>
      <w:r>
        <w:rPr>
          <w:sz w:val="22"/>
        </w:rPr>
        <w:t>г. Ершов</w:t>
      </w:r>
    </w:p>
    <w:p w:rsidR="002B5645" w:rsidRPr="002B5645" w:rsidRDefault="002B5645" w:rsidP="002B5645">
      <w:pPr>
        <w:jc w:val="both"/>
        <w:rPr>
          <w:sz w:val="28"/>
          <w:szCs w:val="28"/>
        </w:rPr>
      </w:pPr>
    </w:p>
    <w:p w:rsidR="002B5645" w:rsidRPr="002B5645" w:rsidRDefault="002B5645" w:rsidP="002B5645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размеров аванс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платежей при заключении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контрактов в 2022 году</w:t>
      </w:r>
    </w:p>
    <w:p w:rsidR="0072578E" w:rsidRDefault="0072578E">
      <w:pPr>
        <w:rPr>
          <w:sz w:val="28"/>
          <w:szCs w:val="28"/>
        </w:rPr>
      </w:pPr>
    </w:p>
    <w:p w:rsidR="002B5645" w:rsidRPr="002B5645" w:rsidRDefault="002B5645" w:rsidP="002B5645">
      <w:pPr>
        <w:ind w:firstLine="426"/>
        <w:jc w:val="both"/>
        <w:rPr>
          <w:sz w:val="28"/>
          <w:szCs w:val="28"/>
        </w:rPr>
      </w:pPr>
      <w:proofErr w:type="gramStart"/>
      <w:r w:rsidRPr="002B5645">
        <w:rPr>
          <w:sz w:val="28"/>
          <w:szCs w:val="28"/>
        </w:rPr>
        <w:t xml:space="preserve">В соответствии с </w:t>
      </w:r>
      <w:hyperlink r:id="rId6" w:history="1">
        <w:r w:rsidRPr="002B5645">
          <w:rPr>
            <w:rStyle w:val="a5"/>
            <w:color w:val="auto"/>
            <w:sz w:val="28"/>
            <w:szCs w:val="28"/>
          </w:rPr>
          <w:t>постановлением</w:t>
        </w:r>
      </w:hyperlink>
      <w:r w:rsidRPr="002B5645">
        <w:rPr>
          <w:sz w:val="28"/>
          <w:szCs w:val="28"/>
        </w:rPr>
        <w:t xml:space="preserve"> Правительства Российской Федерации от 29 марта 2022 года </w:t>
      </w:r>
      <w:r>
        <w:rPr>
          <w:sz w:val="28"/>
          <w:szCs w:val="28"/>
        </w:rPr>
        <w:t>№</w:t>
      </w:r>
      <w:r w:rsidRPr="002B5645">
        <w:rPr>
          <w:sz w:val="28"/>
          <w:szCs w:val="28"/>
        </w:rPr>
        <w:t xml:space="preserve">505 </w:t>
      </w:r>
      <w:r>
        <w:rPr>
          <w:sz w:val="28"/>
          <w:szCs w:val="28"/>
        </w:rPr>
        <w:t>«</w:t>
      </w:r>
      <w:r w:rsidRPr="002B5645">
        <w:rPr>
          <w:sz w:val="28"/>
          <w:szCs w:val="28"/>
        </w:rPr>
        <w:t>О приостановлении действия отдельных пол</w:t>
      </w:r>
      <w:r w:rsidRPr="002B5645">
        <w:rPr>
          <w:sz w:val="28"/>
          <w:szCs w:val="28"/>
        </w:rPr>
        <w:t>о</w:t>
      </w:r>
      <w:r w:rsidRPr="002B5645">
        <w:rPr>
          <w:sz w:val="28"/>
          <w:szCs w:val="28"/>
        </w:rPr>
        <w:t>жений некоторых актов Правительства Российской Федерации и установл</w:t>
      </w:r>
      <w:r w:rsidRPr="002B5645">
        <w:rPr>
          <w:sz w:val="28"/>
          <w:szCs w:val="28"/>
        </w:rPr>
        <w:t>е</w:t>
      </w:r>
      <w:r w:rsidRPr="002B5645">
        <w:rPr>
          <w:sz w:val="28"/>
          <w:szCs w:val="28"/>
        </w:rPr>
        <w:t>нии размеров авансовых платежей при заключении государственных (мун</w:t>
      </w:r>
      <w:r w:rsidRPr="002B5645">
        <w:rPr>
          <w:sz w:val="28"/>
          <w:szCs w:val="28"/>
        </w:rPr>
        <w:t>и</w:t>
      </w:r>
      <w:r w:rsidRPr="002B5645">
        <w:rPr>
          <w:sz w:val="28"/>
          <w:szCs w:val="28"/>
        </w:rPr>
        <w:t>ципальных) контрактов в 2022 году</w:t>
      </w:r>
      <w:r>
        <w:rPr>
          <w:sz w:val="28"/>
          <w:szCs w:val="28"/>
        </w:rPr>
        <w:t>»</w:t>
      </w:r>
      <w:r w:rsidRPr="002B5645">
        <w:rPr>
          <w:sz w:val="28"/>
          <w:szCs w:val="28"/>
        </w:rPr>
        <w:t>, постановлением Правительства Сар</w:t>
      </w:r>
      <w:r w:rsidRPr="002B5645">
        <w:rPr>
          <w:sz w:val="28"/>
          <w:szCs w:val="28"/>
        </w:rPr>
        <w:t>а</w:t>
      </w:r>
      <w:r w:rsidRPr="002B5645">
        <w:rPr>
          <w:sz w:val="28"/>
          <w:szCs w:val="28"/>
        </w:rPr>
        <w:t>товской области от 21.04.2022г. №301-П «О внесении изменений в постано</w:t>
      </w:r>
      <w:r w:rsidRPr="002B5645">
        <w:rPr>
          <w:sz w:val="28"/>
          <w:szCs w:val="28"/>
        </w:rPr>
        <w:t>в</w:t>
      </w:r>
      <w:r w:rsidRPr="002B5645">
        <w:rPr>
          <w:sz w:val="28"/>
          <w:szCs w:val="28"/>
        </w:rPr>
        <w:t xml:space="preserve">ление Правительства Саратовской области от 24 декабря 2021 года </w:t>
      </w:r>
      <w:r>
        <w:rPr>
          <w:sz w:val="28"/>
          <w:szCs w:val="28"/>
        </w:rPr>
        <w:t>№</w:t>
      </w:r>
      <w:r w:rsidRPr="002B5645">
        <w:rPr>
          <w:sz w:val="28"/>
          <w:szCs w:val="28"/>
        </w:rPr>
        <w:t>1145-П и о</w:t>
      </w:r>
      <w:proofErr w:type="gramEnd"/>
      <w:r w:rsidRPr="002B5645">
        <w:rPr>
          <w:sz w:val="28"/>
          <w:szCs w:val="28"/>
        </w:rPr>
        <w:t xml:space="preserve"> приостановлении </w:t>
      </w:r>
      <w:proofErr w:type="gramStart"/>
      <w:r w:rsidRPr="002B5645">
        <w:rPr>
          <w:sz w:val="28"/>
          <w:szCs w:val="28"/>
        </w:rPr>
        <w:t>действия отдельного положения постановления Прав</w:t>
      </w:r>
      <w:r w:rsidRPr="002B5645">
        <w:rPr>
          <w:sz w:val="28"/>
          <w:szCs w:val="28"/>
        </w:rPr>
        <w:t>и</w:t>
      </w:r>
      <w:r w:rsidRPr="002B5645">
        <w:rPr>
          <w:sz w:val="28"/>
          <w:szCs w:val="28"/>
        </w:rPr>
        <w:t>тельства Саратовской области</w:t>
      </w:r>
      <w:proofErr w:type="gramEnd"/>
      <w:r w:rsidRPr="002B5645">
        <w:rPr>
          <w:sz w:val="28"/>
          <w:szCs w:val="28"/>
        </w:rPr>
        <w:t xml:space="preserve"> от 3 июля 2020 года </w:t>
      </w:r>
      <w:r>
        <w:rPr>
          <w:sz w:val="28"/>
          <w:szCs w:val="28"/>
        </w:rPr>
        <w:t>№</w:t>
      </w:r>
      <w:r w:rsidRPr="002B5645">
        <w:rPr>
          <w:sz w:val="28"/>
          <w:szCs w:val="28"/>
        </w:rPr>
        <w:t>555-П» администрация Ершовского муниципального района постановляет:</w:t>
      </w:r>
    </w:p>
    <w:p w:rsidR="002B5645" w:rsidRPr="002B5645" w:rsidRDefault="002B5645" w:rsidP="002B5645">
      <w:pPr>
        <w:ind w:firstLine="426"/>
        <w:jc w:val="both"/>
        <w:rPr>
          <w:sz w:val="28"/>
          <w:szCs w:val="28"/>
        </w:rPr>
      </w:pPr>
      <w:bookmarkStart w:id="0" w:name="sub_11"/>
      <w:r w:rsidRPr="002B5645">
        <w:rPr>
          <w:sz w:val="28"/>
          <w:szCs w:val="28"/>
        </w:rPr>
        <w:t>1. Установить, что в 2022 году получатели средств муниципального бю</w:t>
      </w:r>
      <w:r w:rsidRPr="002B5645">
        <w:rPr>
          <w:sz w:val="28"/>
          <w:szCs w:val="28"/>
        </w:rPr>
        <w:t>д</w:t>
      </w:r>
      <w:r w:rsidRPr="002B5645">
        <w:rPr>
          <w:sz w:val="28"/>
          <w:szCs w:val="28"/>
        </w:rPr>
        <w:t>жета и подведомственные им получатели средств муниципального бюджета предусматривают в заключаемых ими договорах (муниципальных контра</w:t>
      </w:r>
      <w:r w:rsidRPr="002B5645">
        <w:rPr>
          <w:sz w:val="28"/>
          <w:szCs w:val="28"/>
        </w:rPr>
        <w:t>к</w:t>
      </w:r>
      <w:r w:rsidRPr="002B5645">
        <w:rPr>
          <w:sz w:val="28"/>
          <w:szCs w:val="28"/>
        </w:rPr>
        <w:t>тах) на поставку товаров (выполнение работ, оказание услуг) авансовые пл</w:t>
      </w:r>
      <w:r w:rsidRPr="002B5645">
        <w:rPr>
          <w:sz w:val="28"/>
          <w:szCs w:val="28"/>
        </w:rPr>
        <w:t>а</w:t>
      </w:r>
      <w:r w:rsidRPr="002B5645">
        <w:rPr>
          <w:sz w:val="28"/>
          <w:szCs w:val="28"/>
        </w:rPr>
        <w:t>тежи в размере:</w:t>
      </w:r>
    </w:p>
    <w:p w:rsidR="002B5645" w:rsidRPr="002B5645" w:rsidRDefault="002B5645" w:rsidP="002B5645">
      <w:pPr>
        <w:ind w:firstLine="426"/>
        <w:jc w:val="both"/>
        <w:rPr>
          <w:sz w:val="28"/>
          <w:szCs w:val="28"/>
        </w:rPr>
      </w:pPr>
      <w:bookmarkStart w:id="1" w:name="sub_112"/>
      <w:bookmarkEnd w:id="0"/>
      <w:r w:rsidRPr="002B5645">
        <w:rPr>
          <w:sz w:val="28"/>
          <w:szCs w:val="28"/>
        </w:rPr>
        <w:t xml:space="preserve">от 50 до 90 процентов суммы договора (муниципального контракта), но не более лимитов бюджетных обязательств, доведенных до получателей средств муниципального бюджета на указанные цели на соответствующий финансовый год, </w:t>
      </w:r>
      <w:proofErr w:type="gramStart"/>
      <w:r w:rsidRPr="002B5645">
        <w:rPr>
          <w:sz w:val="28"/>
          <w:szCs w:val="28"/>
        </w:rPr>
        <w:t>средства</w:t>
      </w:r>
      <w:proofErr w:type="gramEnd"/>
      <w:r w:rsidRPr="002B5645">
        <w:rPr>
          <w:sz w:val="28"/>
          <w:szCs w:val="28"/>
        </w:rPr>
        <w:t xml:space="preserve"> на финансовое обеспечение которых подлежат к</w:t>
      </w:r>
      <w:r w:rsidRPr="002B5645">
        <w:rPr>
          <w:sz w:val="28"/>
          <w:szCs w:val="28"/>
        </w:rPr>
        <w:t>а</w:t>
      </w:r>
      <w:r w:rsidRPr="002B5645">
        <w:rPr>
          <w:sz w:val="28"/>
          <w:szCs w:val="28"/>
        </w:rPr>
        <w:t>значейскому сопровождению в случаях, установленных бюджетным закон</w:t>
      </w:r>
      <w:r w:rsidRPr="002B5645">
        <w:rPr>
          <w:sz w:val="28"/>
          <w:szCs w:val="28"/>
        </w:rPr>
        <w:t>о</w:t>
      </w:r>
      <w:r w:rsidRPr="002B5645">
        <w:rPr>
          <w:sz w:val="28"/>
          <w:szCs w:val="28"/>
        </w:rPr>
        <w:t>дательством Российской Федерации;</w:t>
      </w:r>
    </w:p>
    <w:p w:rsidR="002B5645" w:rsidRPr="002B5645" w:rsidRDefault="002B5645" w:rsidP="002B5645">
      <w:pPr>
        <w:ind w:firstLine="426"/>
        <w:jc w:val="both"/>
        <w:rPr>
          <w:sz w:val="28"/>
          <w:szCs w:val="28"/>
        </w:rPr>
      </w:pPr>
      <w:bookmarkStart w:id="2" w:name="sub_113"/>
      <w:bookmarkEnd w:id="1"/>
      <w:r w:rsidRPr="002B5645">
        <w:rPr>
          <w:sz w:val="28"/>
          <w:szCs w:val="28"/>
        </w:rPr>
        <w:t>до 50 процентов суммы договора (муниципального контракта), но не б</w:t>
      </w:r>
      <w:r w:rsidRPr="002B5645">
        <w:rPr>
          <w:sz w:val="28"/>
          <w:szCs w:val="28"/>
        </w:rPr>
        <w:t>о</w:t>
      </w:r>
      <w:r w:rsidRPr="002B5645">
        <w:rPr>
          <w:sz w:val="28"/>
          <w:szCs w:val="28"/>
        </w:rPr>
        <w:t>лее лимитов бюджетных обязательств, доведенных до получателей средств муниципального бюджета на указанные цели на соответствующий финанс</w:t>
      </w:r>
      <w:r w:rsidRPr="002B5645">
        <w:rPr>
          <w:sz w:val="28"/>
          <w:szCs w:val="28"/>
        </w:rPr>
        <w:t>о</w:t>
      </w:r>
      <w:r w:rsidRPr="002B5645">
        <w:rPr>
          <w:sz w:val="28"/>
          <w:szCs w:val="28"/>
        </w:rPr>
        <w:t xml:space="preserve">вый год, </w:t>
      </w:r>
      <w:proofErr w:type="gramStart"/>
      <w:r w:rsidRPr="002B5645">
        <w:rPr>
          <w:sz w:val="28"/>
          <w:szCs w:val="28"/>
        </w:rPr>
        <w:t>средства</w:t>
      </w:r>
      <w:proofErr w:type="gramEnd"/>
      <w:r w:rsidRPr="002B5645">
        <w:rPr>
          <w:sz w:val="28"/>
          <w:szCs w:val="28"/>
        </w:rPr>
        <w:t xml:space="preserve"> на финансовое обеспечение которых не подлежат казн</w:t>
      </w:r>
      <w:r w:rsidRPr="002B5645">
        <w:rPr>
          <w:sz w:val="28"/>
          <w:szCs w:val="28"/>
        </w:rPr>
        <w:t>а</w:t>
      </w:r>
      <w:r w:rsidRPr="002B5645">
        <w:rPr>
          <w:sz w:val="28"/>
          <w:szCs w:val="28"/>
        </w:rPr>
        <w:t>чейскому сопровождению;</w:t>
      </w:r>
    </w:p>
    <w:bookmarkEnd w:id="2"/>
    <w:p w:rsidR="002B5645" w:rsidRPr="002B5645" w:rsidRDefault="002B5645" w:rsidP="002B5645">
      <w:pPr>
        <w:ind w:firstLine="426"/>
        <w:jc w:val="both"/>
        <w:rPr>
          <w:sz w:val="28"/>
          <w:szCs w:val="28"/>
        </w:rPr>
      </w:pPr>
      <w:proofErr w:type="gramStart"/>
      <w:r w:rsidRPr="002B5645">
        <w:rPr>
          <w:sz w:val="28"/>
          <w:szCs w:val="28"/>
        </w:rPr>
        <w:t>до 100 процентов суммы договора (муниципального контракта), но не б</w:t>
      </w:r>
      <w:r w:rsidRPr="002B5645">
        <w:rPr>
          <w:sz w:val="28"/>
          <w:szCs w:val="28"/>
        </w:rPr>
        <w:t>о</w:t>
      </w:r>
      <w:r w:rsidRPr="002B5645">
        <w:rPr>
          <w:sz w:val="28"/>
          <w:szCs w:val="28"/>
        </w:rPr>
        <w:t>лее доведенных лимитов бюджетных обязательств по соответствующему к</w:t>
      </w:r>
      <w:r w:rsidRPr="002B5645">
        <w:rPr>
          <w:sz w:val="28"/>
          <w:szCs w:val="28"/>
        </w:rPr>
        <w:t>о</w:t>
      </w:r>
      <w:r w:rsidRPr="002B5645">
        <w:rPr>
          <w:sz w:val="28"/>
          <w:szCs w:val="28"/>
        </w:rPr>
        <w:t>ду бюджетной классификации Российской Федерации, - по договорам (мун</w:t>
      </w:r>
      <w:r w:rsidRPr="002B5645">
        <w:rPr>
          <w:sz w:val="28"/>
          <w:szCs w:val="28"/>
        </w:rPr>
        <w:t>и</w:t>
      </w:r>
      <w:r w:rsidRPr="002B5645">
        <w:rPr>
          <w:sz w:val="28"/>
          <w:szCs w:val="28"/>
        </w:rPr>
        <w:t>ципальным контрактам) об оказании услуг связи, о подписке на печатные и</w:t>
      </w:r>
      <w:r w:rsidRPr="002B5645">
        <w:rPr>
          <w:sz w:val="28"/>
          <w:szCs w:val="28"/>
        </w:rPr>
        <w:t>з</w:t>
      </w:r>
      <w:r w:rsidRPr="002B5645">
        <w:rPr>
          <w:sz w:val="28"/>
          <w:szCs w:val="28"/>
        </w:rPr>
        <w:t>дания и об их приобретении, об обучении на курсах повышения квалифик</w:t>
      </w:r>
      <w:r w:rsidRPr="002B5645">
        <w:rPr>
          <w:sz w:val="28"/>
          <w:szCs w:val="28"/>
        </w:rPr>
        <w:t>а</w:t>
      </w:r>
      <w:r w:rsidRPr="002B5645">
        <w:rPr>
          <w:sz w:val="28"/>
          <w:szCs w:val="28"/>
        </w:rPr>
        <w:lastRenderedPageBreak/>
        <w:t>ции, о прохождении профессиональной переподготовки, об участии в нау</w:t>
      </w:r>
      <w:r w:rsidRPr="002B5645">
        <w:rPr>
          <w:sz w:val="28"/>
          <w:szCs w:val="28"/>
        </w:rPr>
        <w:t>ч</w:t>
      </w:r>
      <w:r w:rsidRPr="002B5645">
        <w:rPr>
          <w:sz w:val="28"/>
          <w:szCs w:val="28"/>
        </w:rPr>
        <w:t>ных, методических, научно-практических и иных конференциях, о провед</w:t>
      </w:r>
      <w:r w:rsidRPr="002B5645">
        <w:rPr>
          <w:sz w:val="28"/>
          <w:szCs w:val="28"/>
        </w:rPr>
        <w:t>е</w:t>
      </w:r>
      <w:r w:rsidRPr="002B5645">
        <w:rPr>
          <w:sz w:val="28"/>
          <w:szCs w:val="28"/>
        </w:rPr>
        <w:t>нии государственной</w:t>
      </w:r>
      <w:proofErr w:type="gramEnd"/>
      <w:r w:rsidRPr="002B5645">
        <w:rPr>
          <w:sz w:val="28"/>
          <w:szCs w:val="28"/>
        </w:rPr>
        <w:t xml:space="preserve"> экспертизы проектной документации и результатов и</w:t>
      </w:r>
      <w:r w:rsidRPr="002B5645">
        <w:rPr>
          <w:sz w:val="28"/>
          <w:szCs w:val="28"/>
        </w:rPr>
        <w:t>н</w:t>
      </w:r>
      <w:r w:rsidRPr="002B5645">
        <w:rPr>
          <w:sz w:val="28"/>
          <w:szCs w:val="28"/>
        </w:rPr>
        <w:t>женерных изысканий, о проведении проверки достоверности определения сметной стоимости объектов капитального строительства, финансовое обе</w:t>
      </w:r>
      <w:r w:rsidRPr="002B5645">
        <w:rPr>
          <w:sz w:val="28"/>
          <w:szCs w:val="28"/>
        </w:rPr>
        <w:t>с</w:t>
      </w:r>
      <w:r w:rsidRPr="002B5645">
        <w:rPr>
          <w:sz w:val="28"/>
          <w:szCs w:val="28"/>
        </w:rPr>
        <w:t>печение строительства, реконструкции или технического перевооружения которых планируется осуществлять полностью или частично за счет средств муниципального бюджета, о приобретении ави</w:t>
      </w:r>
      <w:proofErr w:type="gramStart"/>
      <w:r w:rsidRPr="002B5645">
        <w:rPr>
          <w:sz w:val="28"/>
          <w:szCs w:val="28"/>
        </w:rPr>
        <w:t>а-</w:t>
      </w:r>
      <w:proofErr w:type="gramEnd"/>
      <w:r w:rsidRPr="002B5645">
        <w:rPr>
          <w:sz w:val="28"/>
          <w:szCs w:val="28"/>
        </w:rPr>
        <w:t xml:space="preserve"> и железнодорожных бил</w:t>
      </w:r>
      <w:r w:rsidRPr="002B5645">
        <w:rPr>
          <w:sz w:val="28"/>
          <w:szCs w:val="28"/>
        </w:rPr>
        <w:t>е</w:t>
      </w:r>
      <w:r w:rsidRPr="002B5645">
        <w:rPr>
          <w:sz w:val="28"/>
          <w:szCs w:val="28"/>
        </w:rPr>
        <w:t>тов, билетов для проезда городским и пригородным транспортом, об оказ</w:t>
      </w:r>
      <w:r w:rsidRPr="002B5645">
        <w:rPr>
          <w:sz w:val="28"/>
          <w:szCs w:val="28"/>
        </w:rPr>
        <w:t>а</w:t>
      </w:r>
      <w:r w:rsidRPr="002B5645">
        <w:rPr>
          <w:sz w:val="28"/>
          <w:szCs w:val="28"/>
        </w:rPr>
        <w:t>нии гостиничных услуг по месту командирования и путевок на санаторно-курортное лечение, а также о проведении мероприятий по тушению пожаров, аренды индивидуального сейфа (банковской ячейки), по договорам обяз</w:t>
      </w:r>
      <w:r w:rsidRPr="002B5645">
        <w:rPr>
          <w:sz w:val="28"/>
          <w:szCs w:val="28"/>
        </w:rPr>
        <w:t>а</w:t>
      </w:r>
      <w:r w:rsidRPr="002B5645">
        <w:rPr>
          <w:sz w:val="28"/>
          <w:szCs w:val="28"/>
        </w:rPr>
        <w:t>тельного страхования гражданской ответственности владельцев транспор</w:t>
      </w:r>
      <w:r w:rsidRPr="002B5645">
        <w:rPr>
          <w:sz w:val="28"/>
          <w:szCs w:val="28"/>
        </w:rPr>
        <w:t>т</w:t>
      </w:r>
      <w:r w:rsidR="00DE323E">
        <w:rPr>
          <w:sz w:val="28"/>
          <w:szCs w:val="28"/>
        </w:rPr>
        <w:t>ных средств.</w:t>
      </w:r>
    </w:p>
    <w:p w:rsidR="002B5645" w:rsidRPr="002B5645" w:rsidRDefault="002B5645" w:rsidP="002B5645">
      <w:pPr>
        <w:ind w:firstLine="426"/>
        <w:jc w:val="both"/>
        <w:rPr>
          <w:sz w:val="28"/>
          <w:szCs w:val="28"/>
        </w:rPr>
      </w:pPr>
      <w:r w:rsidRPr="002B5645">
        <w:rPr>
          <w:sz w:val="28"/>
          <w:szCs w:val="28"/>
        </w:rPr>
        <w:t>В случае</w:t>
      </w:r>
      <w:proofErr w:type="gramStart"/>
      <w:r w:rsidRPr="002B5645">
        <w:rPr>
          <w:sz w:val="28"/>
          <w:szCs w:val="28"/>
        </w:rPr>
        <w:t>,</w:t>
      </w:r>
      <w:proofErr w:type="gramEnd"/>
      <w:r w:rsidRPr="002B5645">
        <w:rPr>
          <w:sz w:val="28"/>
          <w:szCs w:val="28"/>
        </w:rPr>
        <w:t xml:space="preserve"> если исполнение договора (муниципального контракта), ук</w:t>
      </w:r>
      <w:r w:rsidRPr="002B5645">
        <w:rPr>
          <w:sz w:val="28"/>
          <w:szCs w:val="28"/>
        </w:rPr>
        <w:t>а</w:t>
      </w:r>
      <w:r w:rsidRPr="002B5645">
        <w:rPr>
          <w:sz w:val="28"/>
          <w:szCs w:val="28"/>
        </w:rPr>
        <w:t>занного в абзаце втором настоящего пункта, осуществляется в 2022 году и последующих годах и соответствующих лимитов бюджетных обязательств, доведенных до получателя средств муниципального бюджета,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</w:t>
      </w:r>
      <w:r w:rsidRPr="002B5645">
        <w:rPr>
          <w:sz w:val="28"/>
          <w:szCs w:val="28"/>
        </w:rPr>
        <w:t>а</w:t>
      </w:r>
      <w:r w:rsidRPr="002B5645">
        <w:rPr>
          <w:sz w:val="28"/>
          <w:szCs w:val="28"/>
        </w:rPr>
        <w:t>кого авансового платежа в оставшемся размере не позднее 1 февраля очере</w:t>
      </w:r>
      <w:r w:rsidRPr="002B5645">
        <w:rPr>
          <w:sz w:val="28"/>
          <w:szCs w:val="28"/>
        </w:rPr>
        <w:t>д</w:t>
      </w:r>
      <w:r w:rsidRPr="002B5645">
        <w:rPr>
          <w:sz w:val="28"/>
          <w:szCs w:val="28"/>
        </w:rPr>
        <w:t>ного финансового года без подтверждения поставки товаров (выполнения р</w:t>
      </w:r>
      <w:r w:rsidRPr="002B5645">
        <w:rPr>
          <w:sz w:val="28"/>
          <w:szCs w:val="28"/>
        </w:rPr>
        <w:t>а</w:t>
      </w:r>
      <w:r w:rsidRPr="002B5645">
        <w:rPr>
          <w:sz w:val="28"/>
          <w:szCs w:val="28"/>
        </w:rPr>
        <w:t>бот, оказания услуг) в объеме ранее выплаченного авансового платежа</w:t>
      </w:r>
      <w:proofErr w:type="gramStart"/>
      <w:r w:rsidRPr="002B5645">
        <w:rPr>
          <w:sz w:val="28"/>
          <w:szCs w:val="28"/>
        </w:rPr>
        <w:t>.».</w:t>
      </w:r>
      <w:proofErr w:type="gramEnd"/>
    </w:p>
    <w:p w:rsidR="002B5645" w:rsidRPr="002B5645" w:rsidRDefault="002B5645" w:rsidP="002B5645">
      <w:pPr>
        <w:ind w:firstLine="426"/>
        <w:jc w:val="both"/>
        <w:rPr>
          <w:sz w:val="28"/>
          <w:szCs w:val="28"/>
        </w:rPr>
      </w:pPr>
      <w:r w:rsidRPr="002B5645">
        <w:rPr>
          <w:sz w:val="28"/>
          <w:szCs w:val="28"/>
        </w:rPr>
        <w:t xml:space="preserve">2. </w:t>
      </w:r>
      <w:proofErr w:type="gramStart"/>
      <w:r w:rsidRPr="002B5645">
        <w:rPr>
          <w:sz w:val="28"/>
          <w:szCs w:val="28"/>
        </w:rPr>
        <w:t>Получатели средств муниципального бюджета вправе 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</w:t>
      </w:r>
      <w:r w:rsidRPr="002B5645">
        <w:rPr>
          <w:sz w:val="28"/>
          <w:szCs w:val="28"/>
        </w:rPr>
        <w:t>и</w:t>
      </w:r>
      <w:r w:rsidRPr="002B5645">
        <w:rPr>
          <w:sz w:val="28"/>
          <w:szCs w:val="28"/>
        </w:rPr>
        <w:t>пальных нужд» внести по соглашению сторон в заключенные до дня всту</w:t>
      </w:r>
      <w:r w:rsidRPr="002B5645">
        <w:rPr>
          <w:sz w:val="28"/>
          <w:szCs w:val="28"/>
        </w:rPr>
        <w:t>п</w:t>
      </w:r>
      <w:r w:rsidRPr="002B5645">
        <w:rPr>
          <w:sz w:val="28"/>
          <w:szCs w:val="28"/>
        </w:rPr>
        <w:t>ления в силу настоящего постановления договоры (муниципальные контра</w:t>
      </w:r>
      <w:r w:rsidRPr="002B5645">
        <w:rPr>
          <w:sz w:val="28"/>
          <w:szCs w:val="28"/>
        </w:rPr>
        <w:t>к</w:t>
      </w:r>
      <w:r w:rsidRPr="002B5645">
        <w:rPr>
          <w:sz w:val="28"/>
          <w:szCs w:val="28"/>
        </w:rPr>
        <w:t>ты) на поставку товаров (выполнение работ, оказание услуг) изменения в части увеличения предусмотренных ими размеров авансовых</w:t>
      </w:r>
      <w:proofErr w:type="gramEnd"/>
      <w:r w:rsidRPr="002B5645">
        <w:rPr>
          <w:sz w:val="28"/>
          <w:szCs w:val="28"/>
        </w:rPr>
        <w:t xml:space="preserve"> платежей до размеров, определенных в соответствии с абзацами вторым, третьим пункта 1 настоящего постановления,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«О контрактной системе в сфере з</w:t>
      </w:r>
      <w:r w:rsidRPr="002B5645">
        <w:rPr>
          <w:sz w:val="28"/>
          <w:szCs w:val="28"/>
        </w:rPr>
        <w:t>а</w:t>
      </w:r>
      <w:r w:rsidRPr="002B5645">
        <w:rPr>
          <w:sz w:val="28"/>
          <w:szCs w:val="28"/>
        </w:rPr>
        <w:t>купок товаров, работ, услуг для обеспечения государственных и муниц</w:t>
      </w:r>
      <w:r w:rsidRPr="002B5645">
        <w:rPr>
          <w:sz w:val="28"/>
          <w:szCs w:val="28"/>
        </w:rPr>
        <w:t>и</w:t>
      </w:r>
      <w:r w:rsidRPr="002B5645">
        <w:rPr>
          <w:sz w:val="28"/>
          <w:szCs w:val="28"/>
        </w:rPr>
        <w:t>пальных нужд»</w:t>
      </w:r>
      <w:proofErr w:type="gramStart"/>
      <w:r w:rsidRPr="002B5645">
        <w:rPr>
          <w:sz w:val="28"/>
          <w:szCs w:val="28"/>
        </w:rPr>
        <w:t>.»</w:t>
      </w:r>
      <w:proofErr w:type="gramEnd"/>
      <w:r w:rsidRPr="002B5645">
        <w:rPr>
          <w:sz w:val="28"/>
          <w:szCs w:val="28"/>
        </w:rPr>
        <w:t>.</w:t>
      </w:r>
    </w:p>
    <w:p w:rsidR="002B5645" w:rsidRPr="002B5645" w:rsidRDefault="002B5645" w:rsidP="002B5645">
      <w:pPr>
        <w:ind w:firstLine="426"/>
        <w:jc w:val="both"/>
        <w:rPr>
          <w:sz w:val="28"/>
          <w:szCs w:val="28"/>
        </w:rPr>
      </w:pPr>
      <w:bookmarkStart w:id="3" w:name="sub_3"/>
      <w:r w:rsidRPr="002B5645">
        <w:rPr>
          <w:sz w:val="28"/>
          <w:szCs w:val="28"/>
        </w:rPr>
        <w:t xml:space="preserve">3. </w:t>
      </w:r>
      <w:r w:rsidR="00DE323E">
        <w:rPr>
          <w:sz w:val="28"/>
          <w:szCs w:val="28"/>
        </w:rPr>
        <w:t>Отделу</w:t>
      </w:r>
      <w:r w:rsidRPr="002B5645">
        <w:rPr>
          <w:sz w:val="28"/>
          <w:szCs w:val="28"/>
        </w:rPr>
        <w:t xml:space="preserve"> по информатизации</w:t>
      </w:r>
      <w:r w:rsidR="00DE323E">
        <w:rPr>
          <w:sz w:val="28"/>
          <w:szCs w:val="28"/>
        </w:rPr>
        <w:t>, организационной работе и общественным отношениям</w:t>
      </w:r>
      <w:r w:rsidRPr="002B5645">
        <w:rPr>
          <w:sz w:val="28"/>
          <w:szCs w:val="28"/>
        </w:rPr>
        <w:t xml:space="preserve"> опубликовать настоящее постановление на официальном сайте администрации.</w:t>
      </w:r>
    </w:p>
    <w:p w:rsidR="002B5645" w:rsidRPr="002B5645" w:rsidRDefault="002B5645" w:rsidP="002B5645">
      <w:pPr>
        <w:ind w:firstLine="426"/>
        <w:jc w:val="both"/>
        <w:rPr>
          <w:sz w:val="28"/>
          <w:szCs w:val="28"/>
        </w:rPr>
      </w:pPr>
      <w:bookmarkStart w:id="4" w:name="sub_4"/>
      <w:bookmarkEnd w:id="3"/>
      <w:r w:rsidRPr="002B5645">
        <w:rPr>
          <w:sz w:val="28"/>
          <w:szCs w:val="28"/>
        </w:rPr>
        <w:t xml:space="preserve">4. Настоящее постановление вступает в силу со дня его </w:t>
      </w:r>
      <w:r w:rsidR="00DE323E">
        <w:rPr>
          <w:sz w:val="28"/>
          <w:szCs w:val="28"/>
        </w:rPr>
        <w:t>официального опубликования</w:t>
      </w:r>
      <w:r w:rsidRPr="002B5645">
        <w:rPr>
          <w:sz w:val="28"/>
          <w:szCs w:val="28"/>
        </w:rPr>
        <w:t>.</w:t>
      </w:r>
      <w:bookmarkEnd w:id="4"/>
    </w:p>
    <w:p w:rsidR="002B5645" w:rsidRDefault="002B5645">
      <w:pPr>
        <w:rPr>
          <w:sz w:val="28"/>
          <w:szCs w:val="28"/>
        </w:rPr>
      </w:pPr>
    </w:p>
    <w:p w:rsidR="00612C28" w:rsidRDefault="00612C28">
      <w:pPr>
        <w:rPr>
          <w:sz w:val="28"/>
          <w:szCs w:val="28"/>
        </w:rPr>
      </w:pPr>
    </w:p>
    <w:p w:rsidR="002B5645" w:rsidRDefault="002B5645" w:rsidP="002B56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Ершовского</w:t>
      </w:r>
    </w:p>
    <w:p w:rsidR="00DB649C" w:rsidRDefault="002B5645" w:rsidP="00DB649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64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Зубрицкая</w:t>
      </w:r>
      <w:proofErr w:type="spellEnd"/>
    </w:p>
    <w:sectPr w:rsidR="00DB649C" w:rsidSect="00C7463D">
      <w:pgSz w:w="11906" w:h="16838"/>
      <w:pgMar w:top="851" w:right="851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2909"/>
    <w:multiLevelType w:val="hybridMultilevel"/>
    <w:tmpl w:val="E1482A0C"/>
    <w:lvl w:ilvl="0" w:tplc="04190001">
      <w:start w:val="1"/>
      <w:numFmt w:val="bullet"/>
      <w:lvlText w:val=""/>
      <w:lvlJc w:val="left"/>
      <w:pPr>
        <w:ind w:left="1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5645"/>
    <w:rsid w:val="00114350"/>
    <w:rsid w:val="002B5645"/>
    <w:rsid w:val="002D6959"/>
    <w:rsid w:val="006058B4"/>
    <w:rsid w:val="00612C28"/>
    <w:rsid w:val="006563FF"/>
    <w:rsid w:val="0072578E"/>
    <w:rsid w:val="00C7463D"/>
    <w:rsid w:val="00D851D8"/>
    <w:rsid w:val="00DB649C"/>
    <w:rsid w:val="00DC003F"/>
    <w:rsid w:val="00DE323E"/>
    <w:rsid w:val="00F5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B564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783512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chipigo</cp:lastModifiedBy>
  <cp:revision>2</cp:revision>
  <cp:lastPrinted>2022-06-30T06:22:00Z</cp:lastPrinted>
  <dcterms:created xsi:type="dcterms:W3CDTF">2022-07-01T05:21:00Z</dcterms:created>
  <dcterms:modified xsi:type="dcterms:W3CDTF">2022-07-01T05:21:00Z</dcterms:modified>
</cp:coreProperties>
</file>