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366F6E">
        <w:rPr>
          <w:color w:val="000000" w:themeColor="text1"/>
        </w:rPr>
        <w:t>31</w:t>
      </w:r>
      <w:r w:rsidR="008C2654">
        <w:rPr>
          <w:color w:val="000000" w:themeColor="text1"/>
        </w:rPr>
        <w:t>.03.2022</w:t>
      </w:r>
      <w:r w:rsidR="00037EE4" w:rsidRPr="0083555B">
        <w:rPr>
          <w:color w:val="000000" w:themeColor="text1"/>
        </w:rPr>
        <w:t xml:space="preserve"> г. № </w:t>
      </w:r>
      <w:r w:rsidR="005A5EF4">
        <w:rPr>
          <w:color w:val="000000" w:themeColor="text1"/>
        </w:rPr>
        <w:t>2</w:t>
      </w:r>
      <w:r w:rsidR="00366F6E">
        <w:rPr>
          <w:color w:val="000000" w:themeColor="text1"/>
        </w:rPr>
        <w:t>99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</w:t>
      </w:r>
      <w:r w:rsidR="00366F6E">
        <w:rPr>
          <w:color w:val="000000" w:themeColor="text1"/>
        </w:rPr>
        <w:t xml:space="preserve"> </w:t>
      </w:r>
      <w:r w:rsidR="00B11BFB">
        <w:rPr>
          <w:color w:val="000000" w:themeColor="text1"/>
        </w:rPr>
        <w:t>собственности</w:t>
      </w:r>
      <w:r w:rsidR="00366F6E">
        <w:rPr>
          <w:color w:val="000000" w:themeColor="text1"/>
        </w:rPr>
        <w:t xml:space="preserve"> муниципального образования город Ершов </w:t>
      </w:r>
      <w:proofErr w:type="spellStart"/>
      <w:r w:rsidR="00366F6E">
        <w:rPr>
          <w:color w:val="000000" w:themeColor="text1"/>
        </w:rPr>
        <w:t>Ершовского</w:t>
      </w:r>
      <w:proofErr w:type="spellEnd"/>
      <w:r w:rsidR="00366F6E">
        <w:rPr>
          <w:color w:val="000000" w:themeColor="text1"/>
        </w:rPr>
        <w:t xml:space="preserve"> муниципального района Саратовской области</w:t>
      </w:r>
      <w:r w:rsidR="00B11BFB">
        <w:rPr>
          <w:color w:val="000000" w:themeColor="text1"/>
        </w:rPr>
        <w:t>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366F6E">
        <w:rPr>
          <w:b/>
          <w:color w:val="000000" w:themeColor="text1"/>
        </w:rPr>
        <w:t>13</w:t>
      </w:r>
      <w:r w:rsidRPr="006E64AC">
        <w:rPr>
          <w:b/>
          <w:color w:val="000000" w:themeColor="text1"/>
        </w:rPr>
        <w:t xml:space="preserve">» </w:t>
      </w:r>
      <w:r w:rsidR="00366F6E">
        <w:rPr>
          <w:b/>
          <w:color w:val="000000" w:themeColor="text1"/>
        </w:rPr>
        <w:t>мая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собственности</w:t>
      </w:r>
      <w:r w:rsidR="00366F6E">
        <w:t xml:space="preserve"> муниципального образования город Ершов </w:t>
      </w:r>
      <w:proofErr w:type="spellStart"/>
      <w:r w:rsidR="00366F6E">
        <w:t>Ершовского</w:t>
      </w:r>
      <w:proofErr w:type="spellEnd"/>
      <w:r w:rsidR="00366F6E">
        <w:t xml:space="preserve"> муниципального района Саратовской области</w:t>
      </w:r>
      <w:r w:rsidRPr="00427EB7">
        <w:t>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r w:rsidR="00C017D9">
        <w:t xml:space="preserve"> </w:t>
      </w:r>
      <w:r w:rsidR="008C2654">
        <w:t xml:space="preserve">г. Ершов, ул. </w:t>
      </w:r>
      <w:r w:rsidR="00366F6E">
        <w:t>Вокзальная, 81</w:t>
      </w:r>
      <w:r w:rsidR="00117664">
        <w:t>, кадастровый номер: 64:13:</w:t>
      </w:r>
      <w:r w:rsidR="00C017D9">
        <w:t>00</w:t>
      </w:r>
      <w:r w:rsidR="00366F6E">
        <w:t>4307</w:t>
      </w:r>
      <w:r w:rsidR="00117664">
        <w:t>:</w:t>
      </w:r>
      <w:r w:rsidR="00366F6E">
        <w:t>824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366F6E">
        <w:t>территориальной зон</w:t>
      </w:r>
      <w:r w:rsidR="005A27B6">
        <w:t>ы</w:t>
      </w:r>
      <w:r w:rsidR="00366F6E">
        <w:t xml:space="preserve"> рекреационного назначения (Р) </w:t>
      </w:r>
      <w:r w:rsidR="00117664">
        <w:t xml:space="preserve"> р</w:t>
      </w:r>
      <w:r w:rsidR="00117664" w:rsidRPr="00283C9B">
        <w:t xml:space="preserve">азрешенное использование земельного участка: </w:t>
      </w:r>
      <w:r w:rsidR="00366F6E">
        <w:t>спорт</w:t>
      </w:r>
      <w:r w:rsidR="00117664" w:rsidRPr="00283C9B">
        <w:t xml:space="preserve">, площадь земельного участка </w:t>
      </w:r>
      <w:r w:rsidR="00366F6E">
        <w:t>747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366F6E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 xml:space="preserve">для зоны </w:t>
      </w:r>
      <w:r w:rsidR="00366F6E">
        <w:t>Р</w:t>
      </w:r>
    </w:p>
    <w:p w:rsidR="00FA3E23" w:rsidRDefault="00366F6E" w:rsidP="005E16D2">
      <w:pPr>
        <w:widowControl w:val="0"/>
        <w:autoSpaceDE w:val="0"/>
        <w:jc w:val="both"/>
      </w:pPr>
      <w:r>
        <w:t xml:space="preserve"> (</w:t>
      </w:r>
      <w:r w:rsidR="00FA3E23">
        <w:t xml:space="preserve"> </w:t>
      </w:r>
      <w:r>
        <w:t>зона рекреационного назначения</w:t>
      </w:r>
      <w:r w:rsidR="00FA3E23">
        <w:t>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366F6E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366F6E" w:rsidRPr="00A06375" w:rsidRDefault="00366F6E" w:rsidP="00CA6EE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A06375">
                    <w:rPr>
                      <w:sz w:val="24"/>
                      <w:szCs w:val="24"/>
                      <w:lang w:eastAsia="ru-RU"/>
                    </w:rPr>
                    <w:t>Спорт (5.1)</w:t>
                  </w:r>
                </w:p>
              </w:tc>
              <w:tc>
                <w:tcPr>
                  <w:tcW w:w="6549" w:type="dxa"/>
                </w:tcPr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27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1000 до 500000 кв. м;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27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не подлежит установлению;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27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не подлежит установлению.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– не подлежат установлению.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не подлежит установлению.</w:t>
                  </w:r>
                </w:p>
                <w:p w:rsidR="00366F6E" w:rsidRPr="00A06375" w:rsidRDefault="00366F6E" w:rsidP="00366F6E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0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не подлежит установлению.</w:t>
                  </w:r>
                </w:p>
                <w:p w:rsidR="00366F6E" w:rsidRPr="00A06375" w:rsidRDefault="00366F6E" w:rsidP="00CA6EE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7302F8" w:rsidRDefault="00BA6B77" w:rsidP="007302F8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7302F8">
        <w:rPr>
          <w:rFonts w:ascii="Times New Roman" w:hAnsi="Times New Roman"/>
          <w:sz w:val="24"/>
          <w:szCs w:val="24"/>
        </w:rPr>
        <w:t xml:space="preserve"> Филиал ОАО «РЖД» «</w:t>
      </w:r>
      <w:proofErr w:type="spellStart"/>
      <w:r w:rsidR="007302F8">
        <w:rPr>
          <w:rFonts w:ascii="Times New Roman" w:hAnsi="Times New Roman"/>
          <w:sz w:val="24"/>
          <w:szCs w:val="24"/>
        </w:rPr>
        <w:t>Трансэнерго</w:t>
      </w:r>
      <w:proofErr w:type="spellEnd"/>
      <w:r w:rsidR="007302F8"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 w:rsidR="007302F8">
        <w:rPr>
          <w:rFonts w:ascii="Times New Roman" w:hAnsi="Times New Roman"/>
          <w:sz w:val="24"/>
          <w:szCs w:val="24"/>
        </w:rPr>
        <w:t>Ершовская</w:t>
      </w:r>
      <w:proofErr w:type="spellEnd"/>
      <w:r w:rsidR="007302F8">
        <w:rPr>
          <w:rFonts w:ascii="Times New Roman" w:hAnsi="Times New Roman"/>
          <w:sz w:val="24"/>
          <w:szCs w:val="24"/>
        </w:rPr>
        <w:t xml:space="preserve"> дистанция электроснабжения сообщает, что  имеется техническая возможность в подключении к сетям электроснабжения проектируемого </w:t>
      </w:r>
      <w:proofErr w:type="gramStart"/>
      <w:r w:rsidR="007302F8">
        <w:rPr>
          <w:rFonts w:ascii="Times New Roman" w:hAnsi="Times New Roman"/>
          <w:sz w:val="24"/>
          <w:szCs w:val="24"/>
        </w:rPr>
        <w:t>объекта</w:t>
      </w:r>
      <w:proofErr w:type="gramEnd"/>
      <w:r w:rsidR="007302F8"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 w:rsidR="007302F8">
        <w:rPr>
          <w:rFonts w:ascii="Times New Roman" w:hAnsi="Times New Roman"/>
          <w:sz w:val="24"/>
          <w:szCs w:val="24"/>
        </w:rPr>
        <w:t>который</w:t>
      </w:r>
      <w:proofErr w:type="gramEnd"/>
      <w:r w:rsidR="007302F8">
        <w:rPr>
          <w:rFonts w:ascii="Times New Roman" w:hAnsi="Times New Roman"/>
          <w:sz w:val="24"/>
          <w:szCs w:val="24"/>
        </w:rPr>
        <w:t xml:space="preserve"> </w:t>
      </w:r>
    </w:p>
    <w:p w:rsidR="007302F8" w:rsidRPr="00A16110" w:rsidRDefault="007302F8" w:rsidP="007302F8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будет располагаться по адресу: 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городское поселение город Ершов, город Ершов, территория ГСК автомобиль, гараж 1. 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7302F8">
        <w:rPr>
          <w:rFonts w:ascii="Times New Roman" w:hAnsi="Times New Roman"/>
          <w:color w:val="000000" w:themeColor="text1"/>
        </w:rPr>
        <w:t>8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7302F8">
        <w:rPr>
          <w:rFonts w:ascii="Times New Roman" w:hAnsi="Times New Roman"/>
          <w:color w:val="000000" w:themeColor="text1"/>
        </w:rPr>
        <w:t>16</w:t>
      </w:r>
      <w:r w:rsidR="004A76D5">
        <w:rPr>
          <w:rFonts w:ascii="Times New Roman" w:hAnsi="Times New Roman"/>
          <w:color w:val="000000" w:themeColor="text1"/>
        </w:rPr>
        <w:t>.03.2022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Саратовская область,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 xml:space="preserve">. Ершов, ул. </w:t>
      </w:r>
      <w:r w:rsidR="007302F8">
        <w:rPr>
          <w:rFonts w:ascii="Times New Roman" w:hAnsi="Times New Roman"/>
        </w:rPr>
        <w:t>Вокзальная, 81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7302F8">
        <w:t>37600,00</w:t>
      </w:r>
      <w:r w:rsidR="00733974">
        <w:t xml:space="preserve"> (</w:t>
      </w:r>
      <w:r w:rsidR="007302F8">
        <w:t>тридцать семь тысяч шестьсот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2432AF">
        <w:t>).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7302F8" w:rsidRPr="007302F8">
        <w:t>11</w:t>
      </w:r>
      <w:r w:rsidR="005A27B6">
        <w:t>28</w:t>
      </w:r>
      <w:r w:rsidR="002670D2" w:rsidRPr="002670D2">
        <w:t>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7302F8">
        <w:t xml:space="preserve">одна тысяча сто </w:t>
      </w:r>
      <w:r w:rsidR="005A27B6">
        <w:t>двадцать восемь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2670D2"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302F8">
        <w:rPr>
          <w:b/>
          <w:color w:val="000000" w:themeColor="text1"/>
        </w:rPr>
        <w:t>11</w:t>
      </w:r>
      <w:r w:rsidR="0046199D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7302F8">
        <w:rPr>
          <w:b/>
        </w:rPr>
        <w:t>12</w:t>
      </w:r>
      <w:r w:rsidR="00F24972" w:rsidRPr="006E64AC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7302F8">
        <w:rPr>
          <w:b/>
          <w:color w:val="000000" w:themeColor="text1"/>
        </w:rPr>
        <w:t>13</w:t>
      </w:r>
      <w:r w:rsidR="007A25B2">
        <w:rPr>
          <w:b/>
          <w:color w:val="000000" w:themeColor="text1"/>
        </w:rPr>
        <w:t xml:space="preserve">» </w:t>
      </w:r>
      <w:r w:rsidR="007302F8">
        <w:rPr>
          <w:b/>
          <w:color w:val="000000" w:themeColor="text1"/>
        </w:rPr>
        <w:t>мая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7302F8">
        <w:t xml:space="preserve"> 22</w:t>
      </w:r>
      <w:r w:rsidR="005A27B6">
        <w:t>560</w:t>
      </w:r>
      <w:r w:rsidR="007302F8">
        <w:t>,00</w:t>
      </w:r>
      <w:r w:rsidRPr="00427EB7">
        <w:t xml:space="preserve"> (</w:t>
      </w:r>
      <w:r w:rsidR="007302F8">
        <w:t xml:space="preserve">двадцать две тысячи </w:t>
      </w:r>
      <w:r w:rsidR="005A27B6">
        <w:t>пятьсот шестьдесят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9E7966">
        <w:t>.</w:t>
      </w:r>
    </w:p>
    <w:p w:rsidR="002670D2" w:rsidRDefault="002670D2" w:rsidP="004D757E">
      <w:pPr>
        <w:jc w:val="both"/>
      </w:pPr>
    </w:p>
    <w:p w:rsidR="007302F8" w:rsidRDefault="007302F8" w:rsidP="00740036">
      <w:pPr>
        <w:ind w:right="43"/>
        <w:jc w:val="both"/>
        <w:rPr>
          <w:b/>
        </w:rPr>
      </w:pPr>
    </w:p>
    <w:p w:rsidR="007302F8" w:rsidRDefault="007302F8" w:rsidP="00740036">
      <w:pPr>
        <w:ind w:right="43"/>
        <w:jc w:val="both"/>
        <w:rPr>
          <w:b/>
        </w:rPr>
      </w:pPr>
    </w:p>
    <w:p w:rsidR="007302F8" w:rsidRDefault="007302F8" w:rsidP="00740036">
      <w:pPr>
        <w:ind w:right="43"/>
        <w:jc w:val="both"/>
        <w:rPr>
          <w:b/>
        </w:rPr>
      </w:pPr>
    </w:p>
    <w:p w:rsidR="007302F8" w:rsidRDefault="007302F8" w:rsidP="00740036">
      <w:pPr>
        <w:ind w:right="43"/>
        <w:jc w:val="both"/>
        <w:rPr>
          <w:b/>
        </w:rPr>
      </w:pPr>
    </w:p>
    <w:p w:rsidR="00740036" w:rsidRPr="00740036" w:rsidRDefault="00740036" w:rsidP="003D58C3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3D58C3">
      <w:pPr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</w:t>
      </w:r>
      <w:r w:rsidR="004A7440">
        <w:t xml:space="preserve">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3D58C3" w:rsidRDefault="003D58C3" w:rsidP="00221A53">
      <w:pPr>
        <w:spacing w:line="240" w:lineRule="exact"/>
        <w:jc w:val="both"/>
      </w:pPr>
    </w:p>
    <w:p w:rsidR="003D58C3" w:rsidRDefault="003D58C3" w:rsidP="00221A53">
      <w:pPr>
        <w:spacing w:line="240" w:lineRule="exact"/>
        <w:jc w:val="both"/>
      </w:pPr>
    </w:p>
    <w:p w:rsidR="003D58C3" w:rsidRDefault="003D58C3" w:rsidP="00221A53">
      <w:pPr>
        <w:spacing w:line="240" w:lineRule="exact"/>
        <w:jc w:val="both"/>
      </w:pPr>
    </w:p>
    <w:p w:rsidR="003D58C3" w:rsidRDefault="003D58C3" w:rsidP="00221A53">
      <w:pPr>
        <w:spacing w:line="240" w:lineRule="exact"/>
        <w:jc w:val="both"/>
      </w:pP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D58C3" w:rsidRDefault="003D58C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3D58C3" w:rsidRDefault="003D58C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3D58C3" w:rsidRDefault="003D58C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3D58C3" w:rsidRDefault="003D58C3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D58C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D58C3" w:rsidRDefault="003D58C3" w:rsidP="00301903">
      <w:pPr>
        <w:spacing w:line="280" w:lineRule="exact"/>
        <w:jc w:val="center"/>
      </w:pP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>аренды,  находящегося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783B47">
        <w:t xml:space="preserve">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783B47">
        <w:t>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lastRenderedPageBreak/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3D58C3" w:rsidRDefault="00783B47" w:rsidP="00783B47">
      <w:pPr>
        <w:jc w:val="both"/>
      </w:pPr>
      <w:r w:rsidRPr="00783B47">
        <w:tab/>
      </w:r>
    </w:p>
    <w:p w:rsidR="00783B47" w:rsidRDefault="003D58C3" w:rsidP="00783B47">
      <w:pPr>
        <w:jc w:val="both"/>
      </w:pPr>
      <w:r>
        <w:t xml:space="preserve">   </w:t>
      </w:r>
      <w:r w:rsidR="00783B47" w:rsidRPr="00783B47"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>5.2.3. Уплачивать в размере и на условиях, установленных Договором, арендную плату.</w:t>
      </w:r>
    </w:p>
    <w:p w:rsidR="003D58C3" w:rsidRDefault="00783B47" w:rsidP="00783B47">
      <w:pPr>
        <w:jc w:val="both"/>
      </w:pPr>
      <w:r w:rsidRPr="00783B47">
        <w:tab/>
      </w:r>
    </w:p>
    <w:p w:rsidR="003D58C3" w:rsidRDefault="003D58C3" w:rsidP="00783B47">
      <w:pPr>
        <w:jc w:val="both"/>
      </w:pPr>
    </w:p>
    <w:p w:rsidR="003D58C3" w:rsidRDefault="003D58C3" w:rsidP="00783B47">
      <w:pPr>
        <w:jc w:val="both"/>
      </w:pPr>
    </w:p>
    <w:p w:rsidR="00783B47" w:rsidRPr="00783B47" w:rsidRDefault="003D58C3" w:rsidP="00783B47">
      <w:pPr>
        <w:jc w:val="both"/>
      </w:pPr>
      <w:r>
        <w:t xml:space="preserve">     </w:t>
      </w:r>
      <w:r w:rsidR="00783B47" w:rsidRPr="00783B47"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lastRenderedPageBreak/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3D58C3" w:rsidRDefault="00783B47" w:rsidP="00783B47">
      <w:pPr>
        <w:jc w:val="both"/>
      </w:pPr>
      <w:r w:rsidRPr="00783B47">
        <w:t xml:space="preserve">                          </w:t>
      </w:r>
    </w:p>
    <w:p w:rsidR="003D58C3" w:rsidRDefault="003D58C3" w:rsidP="00783B47">
      <w:pPr>
        <w:jc w:val="both"/>
      </w:pPr>
    </w:p>
    <w:p w:rsidR="003D58C3" w:rsidRDefault="003D58C3" w:rsidP="00783B47">
      <w:pPr>
        <w:jc w:val="both"/>
      </w:pPr>
    </w:p>
    <w:p w:rsidR="00783B47" w:rsidRPr="00783B47" w:rsidRDefault="003D58C3" w:rsidP="00783B47">
      <w:pPr>
        <w:jc w:val="both"/>
      </w:pPr>
      <w:r>
        <w:t xml:space="preserve">                                 </w:t>
      </w:r>
      <w:r w:rsidR="00783B47" w:rsidRPr="00783B47">
        <w:t>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3D58C3" w:rsidRDefault="003D58C3" w:rsidP="00783B47">
      <w:pPr>
        <w:ind w:left="709" w:hanging="709"/>
        <w:jc w:val="center"/>
      </w:pP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3D58C3" w:rsidRDefault="003D58C3" w:rsidP="00783B47">
      <w:pPr>
        <w:autoSpaceDE w:val="0"/>
        <w:autoSpaceDN w:val="0"/>
        <w:adjustRightInd w:val="0"/>
        <w:spacing w:line="320" w:lineRule="exact"/>
        <w:jc w:val="both"/>
      </w:pPr>
    </w:p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</w:t>
      </w:r>
      <w:r w:rsidR="003D58C3">
        <w:t xml:space="preserve">            </w:t>
      </w:r>
      <w:r w:rsidRPr="00783B47">
        <w:t xml:space="preserve">______________________ </w:t>
      </w:r>
    </w:p>
    <w:p w:rsidR="00783B47" w:rsidRPr="003D58C3" w:rsidRDefault="00783B47" w:rsidP="00783B47">
      <w:pPr>
        <w:spacing w:line="300" w:lineRule="exact"/>
        <w:rPr>
          <w:sz w:val="20"/>
          <w:szCs w:val="20"/>
        </w:rPr>
      </w:pPr>
      <w:r w:rsidRPr="00783B47">
        <w:t xml:space="preserve">      </w:t>
      </w:r>
      <w:r w:rsidRPr="003D58C3">
        <w:rPr>
          <w:sz w:val="20"/>
          <w:szCs w:val="20"/>
        </w:rPr>
        <w:t>(подпись)</w:t>
      </w:r>
      <w:proofErr w:type="gramStart"/>
      <w:r w:rsidRPr="003D58C3">
        <w:rPr>
          <w:sz w:val="20"/>
          <w:szCs w:val="20"/>
        </w:rPr>
        <w:t>,</w:t>
      </w:r>
      <w:r w:rsidR="003D58C3" w:rsidRPr="003D58C3">
        <w:rPr>
          <w:sz w:val="20"/>
          <w:szCs w:val="20"/>
        </w:rPr>
        <w:t>М</w:t>
      </w:r>
      <w:proofErr w:type="gramEnd"/>
      <w:r w:rsidRPr="003D58C3">
        <w:rPr>
          <w:sz w:val="20"/>
          <w:szCs w:val="20"/>
        </w:rPr>
        <w:t>.П.</w:t>
      </w:r>
      <w:r w:rsidRPr="003D58C3">
        <w:rPr>
          <w:sz w:val="20"/>
          <w:szCs w:val="20"/>
        </w:rPr>
        <w:tab/>
        <w:t xml:space="preserve">                                           </w:t>
      </w:r>
      <w:r w:rsidR="003D58C3" w:rsidRPr="003D58C3">
        <w:rPr>
          <w:sz w:val="20"/>
          <w:szCs w:val="20"/>
        </w:rPr>
        <w:t xml:space="preserve">                </w:t>
      </w:r>
      <w:r w:rsidR="003D58C3">
        <w:rPr>
          <w:sz w:val="20"/>
          <w:szCs w:val="20"/>
        </w:rPr>
        <w:t xml:space="preserve">               </w:t>
      </w:r>
      <w:r w:rsidR="003D58C3" w:rsidRPr="003D58C3">
        <w:rPr>
          <w:sz w:val="20"/>
          <w:szCs w:val="20"/>
        </w:rPr>
        <w:t xml:space="preserve">  </w:t>
      </w:r>
      <w:r w:rsidRPr="003D58C3">
        <w:rPr>
          <w:sz w:val="20"/>
          <w:szCs w:val="20"/>
        </w:rPr>
        <w:t>(подпись),</w:t>
      </w:r>
      <w:r w:rsidRPr="003D58C3">
        <w:rPr>
          <w:sz w:val="20"/>
          <w:szCs w:val="20"/>
        </w:rPr>
        <w:tab/>
        <w:t>М.П.</w:t>
      </w:r>
      <w:r w:rsidRPr="003D58C3">
        <w:rPr>
          <w:sz w:val="20"/>
          <w:szCs w:val="20"/>
        </w:rPr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>) в дальнейшем  «Арендатор», с другой стороны принимает в аренду земельный участок, находящийся в собственности</w:t>
      </w:r>
      <w:r w:rsidR="003D58C3">
        <w:t xml:space="preserve"> муниципального образования город Ершов </w:t>
      </w:r>
      <w:proofErr w:type="spellStart"/>
      <w:r w:rsidR="003D58C3">
        <w:t>Ершовского</w:t>
      </w:r>
      <w:proofErr w:type="spellEnd"/>
      <w:r w:rsidR="003D58C3">
        <w:t xml:space="preserve"> муниципального района Саратовской области</w:t>
      </w:r>
      <w:r w:rsidRPr="00FD4030">
        <w:t xml:space="preserve">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3D58C3" w:rsidRDefault="003D58C3" w:rsidP="00FD4030">
      <w:pPr>
        <w:jc w:val="both"/>
        <w:rPr>
          <w:b/>
        </w:rPr>
      </w:pPr>
    </w:p>
    <w:p w:rsidR="003D58C3" w:rsidRDefault="003D58C3" w:rsidP="00FD4030">
      <w:pPr>
        <w:jc w:val="both"/>
        <w:rPr>
          <w:b/>
        </w:rPr>
      </w:pP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 xml:space="preserve">Арендодатель»                                                                  </w:t>
      </w:r>
      <w:r w:rsidR="003D58C3">
        <w:t xml:space="preserve">          </w:t>
      </w:r>
      <w:r w:rsidRPr="00FD4030">
        <w:t xml:space="preserve">  «Арендатор»</w:t>
      </w:r>
    </w:p>
    <w:p w:rsidR="003D58C3" w:rsidRDefault="003D58C3" w:rsidP="00FD4030">
      <w:pPr>
        <w:spacing w:line="300" w:lineRule="exact"/>
      </w:pPr>
    </w:p>
    <w:p w:rsidR="003D58C3" w:rsidRDefault="003D58C3" w:rsidP="00FD4030">
      <w:pPr>
        <w:spacing w:line="300" w:lineRule="exact"/>
      </w:pP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3D58C3" w:rsidRDefault="003D58C3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                                                </w:t>
      </w:r>
      <w:r w:rsidR="003D58C3">
        <w:t xml:space="preserve">           </w:t>
      </w:r>
      <w:r w:rsidRPr="00FD4030">
        <w:t>__________________</w:t>
      </w:r>
    </w:p>
    <w:p w:rsidR="00FD4030" w:rsidRPr="003D58C3" w:rsidRDefault="00FD4030" w:rsidP="00FD4030">
      <w:pPr>
        <w:autoSpaceDE w:val="0"/>
        <w:autoSpaceDN w:val="0"/>
        <w:adjustRightInd w:val="0"/>
        <w:spacing w:line="320" w:lineRule="exact"/>
        <w:jc w:val="both"/>
        <w:rPr>
          <w:sz w:val="18"/>
          <w:szCs w:val="18"/>
        </w:rPr>
      </w:pPr>
      <w:r w:rsidRPr="00FD4030">
        <w:t xml:space="preserve">  </w:t>
      </w:r>
      <w:r w:rsidRPr="003D58C3">
        <w:rPr>
          <w:sz w:val="18"/>
          <w:szCs w:val="18"/>
        </w:rPr>
        <w:t xml:space="preserve">Ф.И.О., подпись, М.П.                                         </w:t>
      </w:r>
      <w:r w:rsidR="003D58C3">
        <w:rPr>
          <w:sz w:val="18"/>
          <w:szCs w:val="18"/>
        </w:rPr>
        <w:t xml:space="preserve">                                  </w:t>
      </w:r>
      <w:r w:rsidRPr="003D58C3">
        <w:rPr>
          <w:sz w:val="18"/>
          <w:szCs w:val="18"/>
        </w:rPr>
        <w:t xml:space="preserve">      </w:t>
      </w:r>
      <w:r w:rsidR="003D58C3">
        <w:rPr>
          <w:sz w:val="18"/>
          <w:szCs w:val="18"/>
        </w:rPr>
        <w:t xml:space="preserve">              </w:t>
      </w:r>
      <w:r w:rsidRPr="003D58C3">
        <w:rPr>
          <w:sz w:val="18"/>
          <w:szCs w:val="18"/>
        </w:rPr>
        <w:t xml:space="preserve">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4C44FD" w:rsidRDefault="004C44FD" w:rsidP="004C44FD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1D88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42B"/>
    <w:rsid w:val="000C7E64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1AC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66F6E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D58C3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6368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27B6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02F8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34C6"/>
    <w:rsid w:val="00E3517B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2022-03-31T06:33:00Z</cp:lastPrinted>
  <dcterms:created xsi:type="dcterms:W3CDTF">2022-04-01T11:33:00Z</dcterms:created>
  <dcterms:modified xsi:type="dcterms:W3CDTF">2022-04-04T04:41:00Z</dcterms:modified>
</cp:coreProperties>
</file>