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0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9F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9F5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КОМИССИЯ </w:t>
      </w:r>
    </w:p>
    <w:p w:rsidR="00AF39F5" w:rsidRPr="00FC1649" w:rsidRDefault="00AF39F5" w:rsidP="00AF39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649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F39F5" w:rsidRPr="00852883" w:rsidRDefault="00AF39F5" w:rsidP="00AF39F5">
      <w:pPr>
        <w:pStyle w:val="a5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4"/>
        </w:rPr>
      </w:pPr>
      <w:r w:rsidRPr="00852883">
        <w:rPr>
          <w:b/>
          <w:spacing w:val="20"/>
          <w:sz w:val="24"/>
          <w:szCs w:val="24"/>
        </w:rPr>
        <w:t>САРАТОВСКОЙ ОБЛАСТИ</w:t>
      </w:r>
    </w:p>
    <w:p w:rsidR="00AF39F5" w:rsidRPr="00344978" w:rsidRDefault="00AF39F5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_________________________________________________________________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Заключение Контрольно-счетной 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комиссии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Ершовского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района на годовой отчет об исполнении</w:t>
      </w:r>
    </w:p>
    <w:p w:rsidR="00AF39F5" w:rsidRPr="00384ADE" w:rsidRDefault="00AF39F5" w:rsidP="00AF3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бюджета </w:t>
      </w:r>
      <w:proofErr w:type="spellStart"/>
      <w:r w:rsidR="00745A1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Новокраснянского</w:t>
      </w:r>
      <w:proofErr w:type="spellEnd"/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я</w:t>
      </w:r>
      <w:r w:rsidRPr="00E319B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215A0C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за 202</w:t>
      </w:r>
      <w:r w:rsidR="00CC1E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21</w:t>
      </w:r>
      <w:r w:rsidRPr="00384ADE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год</w:t>
      </w:r>
    </w:p>
    <w:p w:rsidR="00AF39F5" w:rsidRPr="00341B40" w:rsidRDefault="00341B40" w:rsidP="00AF3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</w:t>
      </w:r>
      <w:proofErr w:type="gramStart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.Е</w:t>
      </w:r>
      <w:proofErr w:type="gramEnd"/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ршов                                                                                          </w:t>
      </w:r>
      <w:r w:rsidR="00F302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30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марта 202</w:t>
      </w:r>
      <w:r w:rsidR="00CC1E74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3</w:t>
      </w:r>
      <w:r w:rsidRPr="00341B4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г.</w:t>
      </w:r>
    </w:p>
    <w:p w:rsidR="00745A1A" w:rsidRPr="00886D12" w:rsidRDefault="00FE4F05" w:rsidP="00745A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45A1A" w:rsidRPr="00886D12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подготовлено </w:t>
      </w:r>
      <w:r w:rsidR="000642FA">
        <w:rPr>
          <w:rFonts w:ascii="Times New Roman" w:hAnsi="Times New Roman" w:cs="Times New Roman"/>
          <w:sz w:val="28"/>
          <w:szCs w:val="28"/>
        </w:rPr>
        <w:t>к</w:t>
      </w:r>
      <w:r w:rsidR="00745A1A" w:rsidRPr="00886D12">
        <w:rPr>
          <w:rFonts w:ascii="Times New Roman" w:hAnsi="Times New Roman" w:cs="Times New Roman"/>
          <w:sz w:val="28"/>
          <w:szCs w:val="28"/>
        </w:rPr>
        <w:t xml:space="preserve">онтрольно-счетной комиссией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района на основании статьи 264.4 Бюджетного кодекса Российской Федерации, статьи 19 Положения о бюджетном процессе в </w:t>
      </w:r>
      <w:proofErr w:type="spellStart"/>
      <w:r w:rsidR="00745A1A">
        <w:rPr>
          <w:rFonts w:ascii="Times New Roman" w:hAnsi="Times New Roman" w:cs="Times New Roman"/>
          <w:sz w:val="28"/>
          <w:szCs w:val="28"/>
        </w:rPr>
        <w:t>Новокраснянским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утвержденного решением Совета депутатов </w:t>
      </w:r>
      <w:proofErr w:type="spellStart"/>
      <w:r w:rsidR="00745A1A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МО от 24.01.2017 №72-134, пункта 1.3. Соглашения о передаче </w:t>
      </w:r>
      <w:r w:rsidR="000642FA">
        <w:rPr>
          <w:rFonts w:ascii="Times New Roman" w:hAnsi="Times New Roman" w:cs="Times New Roman"/>
          <w:sz w:val="28"/>
          <w:szCs w:val="28"/>
        </w:rPr>
        <w:t>к</w:t>
      </w:r>
      <w:r w:rsidR="00745A1A" w:rsidRPr="00886D12">
        <w:rPr>
          <w:rFonts w:ascii="Times New Roman" w:hAnsi="Times New Roman" w:cs="Times New Roman"/>
          <w:sz w:val="28"/>
          <w:szCs w:val="28"/>
        </w:rPr>
        <w:t xml:space="preserve">онтрольно-счетной комиссии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района полномочий контрольно-счетного органа </w:t>
      </w:r>
      <w:proofErr w:type="spellStart"/>
      <w:r w:rsidR="00745A1A" w:rsidRPr="00886D1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45A1A" w:rsidRPr="00886D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осуществлению внешнего муниципального финансового контроля №7 от 01.11.2014г.</w:t>
      </w:r>
    </w:p>
    <w:p w:rsidR="00745A1A" w:rsidRPr="00E319BE" w:rsidRDefault="00745A1A" w:rsidP="00745A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9B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местного бюджета проведена в соответствии со Стандартом внешнего муниципального финансового контроля СФК 1 «Проведение внешней проверки годового отчета об исполнении местного бюджета за отчетный год», утвержденным распоряжением КСК от 28.07.2015 № 45-о (далее – Стандарт), с соблюдением требований БК РФ.</w:t>
      </w:r>
    </w:p>
    <w:p w:rsidR="009F102F" w:rsidRPr="009F102F" w:rsidRDefault="009F102F" w:rsidP="00745A1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Целью внешней проверки годового отчета за 20</w:t>
      </w:r>
      <w:r w:rsidR="00341B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является: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степени полноты и достоверности сведений, представленных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отчетности </w:t>
      </w:r>
      <w:proofErr w:type="spellStart"/>
      <w:r w:rsidR="00745A1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745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фактического исполнения бюджета его плановым назначениям,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установленным решением Совета </w:t>
      </w:r>
      <w:proofErr w:type="spellStart"/>
      <w:r w:rsidR="00745A1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745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бюджете, а также оценка эффективности и результативности использования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отчетном году бюджетных средств;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- подготовка заключения на годовой отчет об исполнении бюджета</w:t>
      </w:r>
    </w:p>
    <w:p w:rsidR="009F102F" w:rsidRPr="009F102F" w:rsidRDefault="00745A1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Предметом внешней проверки является отчет об исполнении бюджета</w:t>
      </w:r>
    </w:p>
    <w:p w:rsidR="009F102F" w:rsidRPr="009F102F" w:rsidRDefault="00745A1A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Объектом внешней проверки выступает администрация </w:t>
      </w:r>
      <w:proofErr w:type="spellStart"/>
      <w:r w:rsidR="00745A1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215A0C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Проверяемый период: 20</w:t>
      </w:r>
      <w:r w:rsidR="00215A0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проведена </w:t>
      </w:r>
      <w:r w:rsidR="003014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на основании представленных форм отчетности, без выхода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объект проверки.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Для проведения внешней проверки годового отчета об исполнении бюджета,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бюджетным законодательством и запросом </w:t>
      </w:r>
      <w:r w:rsidR="0030142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комиссии </w:t>
      </w:r>
      <w:proofErr w:type="spellStart"/>
      <w:r w:rsidR="00EE354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была представлена годовая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отчетности муниципального образования, в которую вошли: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1. Баланс главного распорядителя, распорядителя, получателя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средств, главного администратора, администратора источников финансирования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дефицита бюджета, главного администратора, администратора доходов бюджета (ф.0503130);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2. Справка по заключению счетов бюджетного учета отчетного финансового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(ф. 0503110);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3. Отчет об исполнении бюджета главного распорядителя, распорядителя,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получателя бюджетных средств, главного администратора, администратора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бюджета, главного администратора,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(ф. 0503127);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4. Отчет о финансовых результатах деятельности (ф. 0503121);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5. Отчет о движении денежных средств (ф.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6. Отчет о бюджетных обязательствах (ф. 05003128);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7. Справка по консолидируемым расчетам (ф. 0503125);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8. Сведения о дебиторской и кредиторской задолженности (ф. 0503169);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9. Пояснительная записка (ф. 0503160).</w:t>
      </w:r>
    </w:p>
    <w:p w:rsidR="001A7984" w:rsidRPr="00384ADE" w:rsidRDefault="001A7984" w:rsidP="001A7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26772">
        <w:rPr>
          <w:rFonts w:ascii="Times New Roman" w:hAnsi="Times New Roman" w:cs="Times New Roman"/>
          <w:sz w:val="28"/>
          <w:szCs w:val="28"/>
        </w:rPr>
        <w:t xml:space="preserve">10.Решение Совета </w:t>
      </w:r>
      <w:proofErr w:type="spellStart"/>
      <w:r w:rsidR="00736FAD">
        <w:rPr>
          <w:rFonts w:ascii="Times New Roman" w:hAnsi="Times New Roman" w:cs="Times New Roman"/>
          <w:sz w:val="28"/>
          <w:szCs w:val="28"/>
        </w:rPr>
        <w:t>Новокранянского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30142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22-40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«О бюджете </w:t>
      </w:r>
      <w:proofErr w:type="spellStart"/>
      <w:r w:rsidR="00010951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на 20</w:t>
      </w:r>
      <w:r w:rsidR="0012677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>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84ADE">
        <w:rPr>
          <w:rFonts w:ascii="Times New Roman" w:hAnsi="Times New Roman" w:cs="Times New Roman"/>
          <w:color w:val="000000"/>
          <w:sz w:val="28"/>
          <w:szCs w:val="28"/>
        </w:rPr>
        <w:t xml:space="preserve"> годов» (с изменениями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30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E74">
        <w:rPr>
          <w:rFonts w:ascii="Times New Roman" w:hAnsi="Times New Roman" w:cs="Times New Roman"/>
          <w:color w:val="000000"/>
          <w:sz w:val="28"/>
          <w:szCs w:val="28"/>
        </w:rPr>
        <w:t xml:space="preserve">24.02.2022г. №2-2, от 26.05.2022г. №5-10, от 01.08.2022г. №8-16, от 17.08.2022г. №9-17, от </w:t>
      </w:r>
      <w:r w:rsidR="004F7D5A">
        <w:rPr>
          <w:rFonts w:ascii="Times New Roman" w:hAnsi="Times New Roman" w:cs="Times New Roman"/>
          <w:color w:val="000000"/>
          <w:sz w:val="28"/>
          <w:szCs w:val="28"/>
        </w:rPr>
        <w:t>09.11.2022г. №13-23, от 05.12.2022г. №14-26, от 26.12.2022г. №15-30</w:t>
      </w:r>
      <w:r w:rsidR="00815690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1A7984" w:rsidRPr="009F102F" w:rsidRDefault="001A7984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 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роект решения об утверждении отчета об исполнении бюджета за 202</w:t>
      </w:r>
      <w:r w:rsidR="0087399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представлена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1569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E766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8156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9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электронном</w:t>
      </w:r>
      <w:r w:rsidR="0087399C">
        <w:rPr>
          <w:rFonts w:ascii="Times New Roman" w:hAnsi="Times New Roman" w:cs="Times New Roman"/>
          <w:color w:val="000000"/>
          <w:sz w:val="28"/>
          <w:szCs w:val="28"/>
        </w:rPr>
        <w:t xml:space="preserve"> и бумажном </w:t>
      </w:r>
      <w:r w:rsidR="00010951">
        <w:rPr>
          <w:rFonts w:ascii="Times New Roman" w:hAnsi="Times New Roman" w:cs="Times New Roman"/>
          <w:color w:val="000000"/>
          <w:sz w:val="28"/>
          <w:szCs w:val="28"/>
        </w:rPr>
        <w:t xml:space="preserve"> виде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, что соответствует срокам,</w:t>
      </w:r>
      <w:r w:rsidR="00362D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указанным в ст. 264.4 Бюджетного кодекса Российской Федерации.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Итоги внешней проверки годового отчета об исполнении бюджета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Проверка проведена в целях проведения оценки достоверности годовой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 об исполнении бюджета были исследованы полнота и достоверность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представленной отчетности, ее соответствие требованиям Инструкций,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утвержденной приказом Минфина от 28.12.2010 г №191н.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рамках проводимой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проверки проверена правильность заполнения отчетных форм, соответствие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плановых показателей, указанных в отчетности, показателям, утвержденным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о бюджете на соответствующий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финансовый год с учетом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внесенных в ходе его исполнения, согласованность соответствующих форм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отчетности, использование бюджетных средств на цели, связанные с осуществлением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возложенных на ГРБС задач и функций, другие вопросы.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9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представлена на бумажных носителях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сброшюрованном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виде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с сопроводительным письмом.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 составу и полноте бюджетная отчетность представлена в объеме форм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предусмотренных статьей 264.1 Бюджетного кодекса РФ и требованиям п. 11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Инструкции, утвержденной приказом Минфина от 28.12.2010 г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Бюджетная отчетность составлена нарастающим итогом с начала года в рублях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 точность до второго десятичного знака после запятой, что соответствует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требованиям п. 9 Инструкции, утвержденной приказом Минфина России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29.12.2010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Проверка форм бюджетной отчетности</w:t>
      </w:r>
    </w:p>
    <w:p w:rsidR="00144DED" w:rsidRPr="00144DED" w:rsidRDefault="00144DED" w:rsidP="00144DED">
      <w:pPr>
        <w:pStyle w:val="Default"/>
        <w:jc w:val="center"/>
        <w:rPr>
          <w:sz w:val="28"/>
          <w:szCs w:val="28"/>
          <w:u w:val="single"/>
        </w:rPr>
      </w:pPr>
      <w:r w:rsidRPr="00144DED">
        <w:rPr>
          <w:sz w:val="28"/>
          <w:szCs w:val="28"/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r>
        <w:rPr>
          <w:sz w:val="28"/>
          <w:szCs w:val="28"/>
          <w:u w:val="single"/>
        </w:rPr>
        <w:t xml:space="preserve"> </w:t>
      </w:r>
      <w:r w:rsidRPr="00144DED">
        <w:rPr>
          <w:sz w:val="28"/>
          <w:szCs w:val="28"/>
          <w:u w:val="single"/>
        </w:rPr>
        <w:t>доходов бюджета (ф. 0503127)</w:t>
      </w:r>
    </w:p>
    <w:p w:rsidR="009F102F" w:rsidRPr="009F102F" w:rsidRDefault="009F102F" w:rsidP="00144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Форма отчёта об исполнении бюджета за 20</w:t>
      </w:r>
      <w:r w:rsidR="000E09A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739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главного администратора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средств содержит данные об исполнении бюджета по доходам, расходам,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утверждённым бюджетной росписью с учётом последующих изменений,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оформленных в установленном порядке и источникам финансирования 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бюджета. Отчёт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сформирован нарастающим итогом с начала года в рублях.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Контрольные соотношения между показателями отчета о движении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средств (форма 0503123) и отчёта об исполнении бюджета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(форма 0503127) соблюдены.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разрезе кодов бюджетной классификации расходов (целевых статьей, видов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расходов и статей (подстатей) Классификации операций сектора государственного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управления (КОСГУ)) расходы исполнены в пределах утвержденных бюджетных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назначений и доведенных лимитов бюджетных обязательств.</w:t>
      </w:r>
    </w:p>
    <w:p w:rsid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b/>
          <w:bCs/>
          <w:sz w:val="28"/>
          <w:szCs w:val="28"/>
        </w:rPr>
        <w:t xml:space="preserve">Баланс исполнения бюджета </w:t>
      </w:r>
      <w:r w:rsidRPr="00F825AB">
        <w:rPr>
          <w:rFonts w:ascii="Times New Roman" w:hAnsi="Times New Roman" w:cs="Times New Roman"/>
          <w:sz w:val="28"/>
          <w:szCs w:val="28"/>
        </w:rPr>
        <w:t>(ф. 0503130) сформирован по состоянию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на 1 января 202</w:t>
      </w:r>
      <w:r w:rsidR="0087399C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и отражает сведения об активах, обязательствах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части бюджетной деятельности. Средства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во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временном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и финансовые вложения отсутствуют. Показатели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графы баланса «на конец отчетного периода» указаны с учетом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завершении финансового года заключительных оборотов по счетам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lastRenderedPageBreak/>
        <w:t>бюджетного учета.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Согласно данным раздела </w:t>
      </w:r>
      <w:r w:rsidRPr="00F825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25AB">
        <w:rPr>
          <w:rFonts w:ascii="Times New Roman" w:hAnsi="Times New Roman" w:cs="Times New Roman"/>
          <w:sz w:val="28"/>
          <w:szCs w:val="28"/>
        </w:rPr>
        <w:t xml:space="preserve"> баланса на 01.01.202</w:t>
      </w:r>
      <w:r w:rsidR="0087399C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нефинансовые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активы за счёт бюджетной деятельности у</w:t>
      </w:r>
      <w:r w:rsidR="005C1668">
        <w:rPr>
          <w:rFonts w:ascii="Times New Roman" w:hAnsi="Times New Roman" w:cs="Times New Roman"/>
          <w:sz w:val="28"/>
          <w:szCs w:val="28"/>
        </w:rPr>
        <w:t>меньшились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за 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87399C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 на</w:t>
      </w:r>
      <w:r w:rsidR="005C1668">
        <w:rPr>
          <w:rFonts w:ascii="Times New Roman" w:hAnsi="Times New Roman" w:cs="Times New Roman"/>
          <w:sz w:val="28"/>
          <w:szCs w:val="28"/>
        </w:rPr>
        <w:t xml:space="preserve"> </w:t>
      </w:r>
      <w:r w:rsidR="00B571BA">
        <w:rPr>
          <w:rFonts w:ascii="Times New Roman" w:hAnsi="Times New Roman" w:cs="Times New Roman"/>
          <w:sz w:val="28"/>
          <w:szCs w:val="28"/>
        </w:rPr>
        <w:t>227,7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ублей и составили </w:t>
      </w:r>
      <w:r w:rsidR="008A384F">
        <w:rPr>
          <w:rFonts w:ascii="Times New Roman" w:hAnsi="Times New Roman" w:cs="Times New Roman"/>
          <w:sz w:val="28"/>
          <w:szCs w:val="28"/>
        </w:rPr>
        <w:t>13</w:t>
      </w:r>
      <w:r w:rsidR="00B571BA">
        <w:rPr>
          <w:rFonts w:ascii="Times New Roman" w:hAnsi="Times New Roman" w:cs="Times New Roman"/>
          <w:sz w:val="28"/>
          <w:szCs w:val="28"/>
        </w:rPr>
        <w:t>318,1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числе: основные средства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 xml:space="preserve">остаточной стоимостью </w:t>
      </w:r>
      <w:r w:rsidR="00B571BA">
        <w:rPr>
          <w:rFonts w:ascii="Times New Roman" w:hAnsi="Times New Roman" w:cs="Times New Roman"/>
          <w:sz w:val="28"/>
          <w:szCs w:val="28"/>
        </w:rPr>
        <w:t>401,4</w:t>
      </w:r>
      <w:r w:rsidRPr="00F825AB">
        <w:rPr>
          <w:rFonts w:ascii="Times New Roman" w:hAnsi="Times New Roman" w:cs="Times New Roman"/>
          <w:sz w:val="28"/>
          <w:szCs w:val="28"/>
        </w:rPr>
        <w:t>тыс. рублей (у</w:t>
      </w:r>
      <w:r w:rsidR="005C1668">
        <w:rPr>
          <w:rFonts w:ascii="Times New Roman" w:hAnsi="Times New Roman" w:cs="Times New Roman"/>
          <w:sz w:val="28"/>
          <w:szCs w:val="28"/>
        </w:rPr>
        <w:t>меньшение</w:t>
      </w:r>
      <w:r w:rsidRPr="00F825A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01.01.20</w:t>
      </w:r>
      <w:r w:rsidR="00A06BC7" w:rsidRPr="00F825AB">
        <w:rPr>
          <w:rFonts w:ascii="Times New Roman" w:hAnsi="Times New Roman" w:cs="Times New Roman"/>
          <w:sz w:val="28"/>
          <w:szCs w:val="28"/>
        </w:rPr>
        <w:t>2</w:t>
      </w:r>
      <w:r w:rsidR="00B571BA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B571BA">
        <w:rPr>
          <w:rFonts w:ascii="Times New Roman" w:hAnsi="Times New Roman" w:cs="Times New Roman"/>
          <w:sz w:val="28"/>
          <w:szCs w:val="28"/>
        </w:rPr>
        <w:t>228,7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рублей),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активы - 0 тыс. рублей (на уровне 20</w:t>
      </w:r>
      <w:r w:rsidR="005C1668">
        <w:rPr>
          <w:rFonts w:ascii="Times New Roman" w:hAnsi="Times New Roman" w:cs="Times New Roman"/>
          <w:sz w:val="28"/>
          <w:szCs w:val="28"/>
        </w:rPr>
        <w:t>2</w:t>
      </w:r>
      <w:r w:rsidR="00B571BA">
        <w:rPr>
          <w:rFonts w:ascii="Times New Roman" w:hAnsi="Times New Roman" w:cs="Times New Roman"/>
          <w:sz w:val="28"/>
          <w:szCs w:val="28"/>
        </w:rPr>
        <w:t>1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года), материальные запасы стоимостью – </w:t>
      </w:r>
      <w:r w:rsidR="00B571BA">
        <w:rPr>
          <w:rFonts w:ascii="Times New Roman" w:hAnsi="Times New Roman" w:cs="Times New Roman"/>
          <w:sz w:val="28"/>
          <w:szCs w:val="28"/>
        </w:rPr>
        <w:t>1,1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руб</w:t>
      </w:r>
      <w:r w:rsidR="005C1668">
        <w:rPr>
          <w:rFonts w:ascii="Times New Roman" w:hAnsi="Times New Roman" w:cs="Times New Roman"/>
          <w:sz w:val="28"/>
          <w:szCs w:val="28"/>
        </w:rPr>
        <w:t>.</w:t>
      </w:r>
      <w:r w:rsidRPr="00F825AB">
        <w:rPr>
          <w:rFonts w:ascii="Times New Roman" w:hAnsi="Times New Roman" w:cs="Times New Roman"/>
          <w:sz w:val="28"/>
          <w:szCs w:val="28"/>
        </w:rPr>
        <w:t xml:space="preserve"> (у</w:t>
      </w:r>
      <w:r w:rsidR="00B571BA">
        <w:rPr>
          <w:rFonts w:ascii="Times New Roman" w:hAnsi="Times New Roman" w:cs="Times New Roman"/>
          <w:sz w:val="28"/>
          <w:szCs w:val="28"/>
        </w:rPr>
        <w:t>величились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на </w:t>
      </w:r>
      <w:r w:rsidR="00B571BA">
        <w:rPr>
          <w:rFonts w:ascii="Times New Roman" w:hAnsi="Times New Roman" w:cs="Times New Roman"/>
          <w:sz w:val="28"/>
          <w:szCs w:val="28"/>
        </w:rPr>
        <w:t>1,0</w:t>
      </w:r>
      <w:r w:rsidR="005C166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F825AB">
        <w:rPr>
          <w:rFonts w:ascii="Times New Roman" w:hAnsi="Times New Roman" w:cs="Times New Roman"/>
          <w:sz w:val="28"/>
          <w:szCs w:val="28"/>
        </w:rPr>
        <w:t xml:space="preserve">), нефинансовые активы имущества казны – </w:t>
      </w:r>
      <w:r w:rsidR="00B571BA">
        <w:rPr>
          <w:rFonts w:ascii="Times New Roman" w:hAnsi="Times New Roman" w:cs="Times New Roman"/>
          <w:sz w:val="28"/>
          <w:szCs w:val="28"/>
        </w:rPr>
        <w:t>12915,6</w:t>
      </w:r>
      <w:r w:rsidR="008A384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A38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A384F">
        <w:rPr>
          <w:rFonts w:ascii="Times New Roman" w:hAnsi="Times New Roman" w:cs="Times New Roman"/>
          <w:sz w:val="28"/>
          <w:szCs w:val="28"/>
        </w:rPr>
        <w:t>ублей</w:t>
      </w:r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Сумма начисленной амортизации по основным средствам за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период у</w:t>
      </w:r>
      <w:r w:rsidR="00F825AB" w:rsidRPr="00F825AB">
        <w:rPr>
          <w:rFonts w:ascii="Times New Roman" w:hAnsi="Times New Roman" w:cs="Times New Roman"/>
          <w:sz w:val="28"/>
          <w:szCs w:val="28"/>
        </w:rPr>
        <w:t>величилась</w:t>
      </w:r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F825AB" w:rsidRPr="00F825AB">
        <w:rPr>
          <w:rFonts w:ascii="Times New Roman" w:hAnsi="Times New Roman" w:cs="Times New Roman"/>
          <w:sz w:val="28"/>
          <w:szCs w:val="28"/>
        </w:rPr>
        <w:t xml:space="preserve">по </w:t>
      </w:r>
      <w:r w:rsidRPr="00F825AB">
        <w:rPr>
          <w:rFonts w:ascii="Times New Roman" w:hAnsi="Times New Roman" w:cs="Times New Roman"/>
          <w:sz w:val="28"/>
          <w:szCs w:val="28"/>
        </w:rPr>
        <w:t>сравнению с началом 20</w:t>
      </w:r>
      <w:r w:rsidR="00F825AB" w:rsidRPr="00F825AB">
        <w:rPr>
          <w:rFonts w:ascii="Times New Roman" w:hAnsi="Times New Roman" w:cs="Times New Roman"/>
          <w:sz w:val="28"/>
          <w:szCs w:val="28"/>
        </w:rPr>
        <w:t>2</w:t>
      </w:r>
      <w:r w:rsidR="00C95090">
        <w:rPr>
          <w:rFonts w:ascii="Times New Roman" w:hAnsi="Times New Roman" w:cs="Times New Roman"/>
          <w:sz w:val="28"/>
          <w:szCs w:val="28"/>
        </w:rPr>
        <w:t>2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95090">
        <w:rPr>
          <w:rFonts w:ascii="Times New Roman" w:hAnsi="Times New Roman" w:cs="Times New Roman"/>
          <w:sz w:val="28"/>
          <w:szCs w:val="28"/>
        </w:rPr>
        <w:t>264,1</w:t>
      </w:r>
      <w:r w:rsidR="00FA3F66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 и</w:t>
      </w:r>
      <w:r w:rsidR="00C95090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32617">
        <w:rPr>
          <w:rFonts w:ascii="Times New Roman" w:hAnsi="Times New Roman" w:cs="Times New Roman"/>
          <w:sz w:val="28"/>
          <w:szCs w:val="28"/>
        </w:rPr>
        <w:t>4</w:t>
      </w:r>
      <w:r w:rsidR="00C95090">
        <w:rPr>
          <w:rFonts w:ascii="Times New Roman" w:hAnsi="Times New Roman" w:cs="Times New Roman"/>
          <w:sz w:val="28"/>
          <w:szCs w:val="28"/>
        </w:rPr>
        <w:t>474,6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 Данные об остатках основных средств,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материальных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запасах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, нефинансовых активов имущества казны на начало и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конец отчетного года,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отраженные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в сведениях о движении нефинансовых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активов (ф. 0503168) соответствуют показателям I раздела баланса.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Показатели II раздела баланса «Финансовые активы»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сложились в виде дебиторской задолженности по</w:t>
      </w:r>
      <w:r w:rsidR="00EF0E6B">
        <w:rPr>
          <w:rFonts w:ascii="Times New Roman" w:hAnsi="Times New Roman" w:cs="Times New Roman"/>
          <w:sz w:val="28"/>
          <w:szCs w:val="28"/>
        </w:rPr>
        <w:t xml:space="preserve"> </w:t>
      </w:r>
      <w:r w:rsidR="00232617">
        <w:rPr>
          <w:rFonts w:ascii="Times New Roman" w:hAnsi="Times New Roman" w:cs="Times New Roman"/>
          <w:sz w:val="28"/>
          <w:szCs w:val="28"/>
        </w:rPr>
        <w:t xml:space="preserve">выплатам </w:t>
      </w:r>
      <w:r w:rsidRPr="00F825AB">
        <w:rPr>
          <w:rFonts w:ascii="Times New Roman" w:hAnsi="Times New Roman" w:cs="Times New Roman"/>
          <w:sz w:val="28"/>
          <w:szCs w:val="28"/>
        </w:rPr>
        <w:t>на 01 января 202</w:t>
      </w:r>
      <w:r w:rsidR="00C9509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</w:t>
      </w:r>
      <w:r w:rsidR="00C95090">
        <w:rPr>
          <w:rFonts w:ascii="Times New Roman" w:hAnsi="Times New Roman" w:cs="Times New Roman"/>
          <w:sz w:val="28"/>
          <w:szCs w:val="28"/>
        </w:rPr>
        <w:t>4,3</w:t>
      </w:r>
      <w:r w:rsidR="009A101E">
        <w:rPr>
          <w:rFonts w:ascii="Times New Roman" w:hAnsi="Times New Roman" w:cs="Times New Roman"/>
          <w:sz w:val="28"/>
          <w:szCs w:val="28"/>
        </w:rPr>
        <w:t xml:space="preserve"> </w:t>
      </w:r>
      <w:r w:rsidRPr="00F825AB">
        <w:rPr>
          <w:rFonts w:ascii="Times New Roman" w:hAnsi="Times New Roman" w:cs="Times New Roman"/>
          <w:sz w:val="28"/>
          <w:szCs w:val="28"/>
        </w:rPr>
        <w:t>тыс. рублей, что соответствует данным «Сведений по дебиторской и кредиторской задолженности» (ф. 0503169).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Согласно показателям III раздела баланса «Обязательства» и показателям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формы 0503169 кредиторская задолженность по состоянию на 01.01.202</w:t>
      </w:r>
      <w:r w:rsidR="00C9509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C95090">
        <w:rPr>
          <w:rFonts w:ascii="Times New Roman" w:hAnsi="Times New Roman" w:cs="Times New Roman"/>
          <w:sz w:val="28"/>
          <w:szCs w:val="28"/>
        </w:rPr>
        <w:t>2,3</w:t>
      </w:r>
      <w:r w:rsidR="00232617">
        <w:rPr>
          <w:rFonts w:ascii="Times New Roman" w:hAnsi="Times New Roman" w:cs="Times New Roman"/>
          <w:sz w:val="28"/>
          <w:szCs w:val="28"/>
        </w:rPr>
        <w:t xml:space="preserve"> тыс. рублей, расчеты по платежам в бюджет составили </w:t>
      </w:r>
      <w:r w:rsidR="00C95090">
        <w:rPr>
          <w:rFonts w:ascii="Times New Roman" w:hAnsi="Times New Roman" w:cs="Times New Roman"/>
          <w:sz w:val="28"/>
          <w:szCs w:val="28"/>
        </w:rPr>
        <w:t>0,0</w:t>
      </w:r>
      <w:r w:rsidR="0023261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3261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2617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Раздел IV баланса содержит сведения о финансовом результате, размер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которого на 01.01.202</w:t>
      </w:r>
      <w:r w:rsidR="00C95090">
        <w:rPr>
          <w:rFonts w:ascii="Times New Roman" w:hAnsi="Times New Roman" w:cs="Times New Roman"/>
          <w:sz w:val="28"/>
          <w:szCs w:val="28"/>
        </w:rPr>
        <w:t>3</w:t>
      </w:r>
      <w:r w:rsidRPr="00F825AB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95090">
        <w:rPr>
          <w:rFonts w:ascii="Times New Roman" w:hAnsi="Times New Roman" w:cs="Times New Roman"/>
          <w:sz w:val="28"/>
          <w:szCs w:val="28"/>
        </w:rPr>
        <w:t>13322,3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финансовый результат экономического субъекта – </w:t>
      </w:r>
      <w:r w:rsidR="00232617">
        <w:rPr>
          <w:rFonts w:ascii="Times New Roman" w:hAnsi="Times New Roman" w:cs="Times New Roman"/>
          <w:sz w:val="28"/>
          <w:szCs w:val="28"/>
        </w:rPr>
        <w:t>13</w:t>
      </w:r>
      <w:r w:rsidR="00C95090">
        <w:rPr>
          <w:rFonts w:ascii="Times New Roman" w:hAnsi="Times New Roman" w:cs="Times New Roman"/>
          <w:sz w:val="28"/>
          <w:szCs w:val="28"/>
        </w:rPr>
        <w:t>209,1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В справке о наличии имущества и обязательств на </w:t>
      </w:r>
      <w:proofErr w:type="spellStart"/>
      <w:r w:rsidRPr="00F825AB"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 w:rsidRPr="00F825AB">
        <w:rPr>
          <w:rFonts w:ascii="Times New Roman" w:hAnsi="Times New Roman" w:cs="Times New Roman"/>
          <w:sz w:val="28"/>
          <w:szCs w:val="28"/>
        </w:rPr>
        <w:t xml:space="preserve"> счетах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числится: основные средства в эксплуатации – </w:t>
      </w:r>
      <w:r w:rsidR="00C95090">
        <w:rPr>
          <w:rFonts w:ascii="Times New Roman" w:hAnsi="Times New Roman" w:cs="Times New Roman"/>
          <w:sz w:val="28"/>
          <w:szCs w:val="28"/>
        </w:rPr>
        <w:t>190,7</w:t>
      </w:r>
      <w:r w:rsidRPr="00F825A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ублей.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>При проверке увязки отчетных форм установлено, что контрольные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соотношения между показателями баланса (ф.0503130), отчета о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финансовых</w:t>
      </w:r>
      <w:proofErr w:type="gramEnd"/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825AB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 xml:space="preserve"> деятельности (ф. 0503121) и справки по заключению счетов</w:t>
      </w:r>
    </w:p>
    <w:p w:rsidR="008B470D" w:rsidRPr="00F825AB" w:rsidRDefault="008B470D" w:rsidP="008B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25AB">
        <w:rPr>
          <w:rFonts w:ascii="Times New Roman" w:hAnsi="Times New Roman" w:cs="Times New Roman"/>
          <w:sz w:val="28"/>
          <w:szCs w:val="28"/>
        </w:rPr>
        <w:t xml:space="preserve">бюджетного учета отчетного финансового года (ф.0503110) </w:t>
      </w:r>
      <w:proofErr w:type="gramStart"/>
      <w:r w:rsidRPr="00F825AB">
        <w:rPr>
          <w:rFonts w:ascii="Times New Roman" w:hAnsi="Times New Roman" w:cs="Times New Roman"/>
          <w:sz w:val="28"/>
          <w:szCs w:val="28"/>
        </w:rPr>
        <w:t>соблюдены</w:t>
      </w:r>
      <w:proofErr w:type="gramEnd"/>
      <w:r w:rsidRPr="00F825AB">
        <w:rPr>
          <w:rFonts w:ascii="Times New Roman" w:hAnsi="Times New Roman" w:cs="Times New Roman"/>
          <w:sz w:val="28"/>
          <w:szCs w:val="28"/>
        </w:rPr>
        <w:t>.</w:t>
      </w:r>
    </w:p>
    <w:p w:rsidR="00144DED" w:rsidRPr="00144DED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D0D0D"/>
          <w:sz w:val="28"/>
          <w:szCs w:val="28"/>
          <w:u w:val="single"/>
        </w:rPr>
        <w:t xml:space="preserve">Отчёт о финансовых результатах </w:t>
      </w: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деятельности (форма 0503121) . 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 о финансовых результатах деятельности представлен по форме 0503121 в</w:t>
      </w:r>
      <w:r w:rsidR="00144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соответствии с п.п. 92-100 Инструкции №191н.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содержит данные о финансовых результатах деятельности учреждения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разрезе кодов КОСГУ по состоянию на 1 января года 202</w:t>
      </w:r>
      <w:r w:rsidR="00C950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Соблюдено соответствие показателей Отчёта о финансовых результатах (форма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0503121) и Справкой по заключению счетов бюджетного учёта отчётного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финансового года (форма 0503110).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движении денежных средств (форма 0503123);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о движении денежных средств (форма 0503123) составлен и содержит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данные о движении денежных средств на счете в рублях, открытом в финансовом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органе,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кассовое обслуживание исполнения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бюджета, по состоянию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на 1 января 202</w:t>
      </w:r>
      <w:r w:rsidR="00C950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года, составлен в разрезе кодов КОСГУ.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контрольных соотношений между показателями форм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бюджетной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отчётности, в том числе: отчета о движении денежных средств (ф. 0503123) и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Отчётом о финансовых результатах (форма 0503121) расхождени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й не выявила.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Отчет о принятых бюджетных обязательствах (форма 0503128)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 (форма 0503128) сформирован согласно п.68-91 Инструкции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на 1 января года 202</w:t>
      </w:r>
      <w:r w:rsidR="00C9509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отражены на основании данных о принятии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бюджетных обязательств в рамках осуществляемой ими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деятельности в соответствующем финансовом году.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 4, 5 – годовые утвержденных (доведенных) бюджетные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назначения на 20</w:t>
      </w:r>
      <w:r w:rsidR="005B4C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0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 учетом изменений и графы 10 – исполнено денежных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обязательств Отчета (форма 0503128) увязываются с показателями граф 4, 5 и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Отчета (форма 0503127) соответственно, расхождения не установлены.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графам 6-10 – отражены показатели объема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принимаемых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, принятых,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исполненных обязательств (денежных обязательств).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Принятые бюджетные обязательства (графа 7) за 20</w:t>
      </w:r>
      <w:r w:rsidR="00B41E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950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составили</w:t>
      </w:r>
    </w:p>
    <w:p w:rsidR="009F102F" w:rsidRPr="009F102F" w:rsidRDefault="00C95090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8014,6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составляет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t>96,5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% от суммы утвержденных бюджетных</w:t>
      </w:r>
      <w:r w:rsid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02F" w:rsidRPr="009F102F">
        <w:rPr>
          <w:rFonts w:ascii="Times New Roman" w:hAnsi="Times New Roman" w:cs="Times New Roman"/>
          <w:color w:val="000000"/>
          <w:sz w:val="28"/>
          <w:szCs w:val="28"/>
        </w:rPr>
        <w:t>ассигнований.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Показатели графы 10, показатели исполненных денежных обязательств в 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2C6">
        <w:rPr>
          <w:rFonts w:ascii="Times New Roman" w:hAnsi="Times New Roman" w:cs="Times New Roman"/>
          <w:color w:val="000000"/>
          <w:sz w:val="28"/>
          <w:szCs w:val="28"/>
        </w:rPr>
        <w:t>8009,9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не превышают показатели принятых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(графа 7) и денежных обязательств (графы 9).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В группе граф «Не исполнено принятых обязательств» отражены объемы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принятых бюджетных обязательств (денежных обязательств) отчетного финансового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года и не исполненных на 1 января 202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года. Сумма принятых и неисполненных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бюджетных обязательств по состоянию на 01.01.202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составила 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4,7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Сумма принятых денежных обязательств отражена в форме «Сведения о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дебиторской и кредиторской задолженности» (ф. 0503169).</w:t>
      </w:r>
    </w:p>
    <w:p w:rsidR="009F102F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Состояние дебиторской и кредиторской задолженности (форма 0503169)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формы 0503169 «Сведения </w:t>
      </w: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дебиторской и кредиторской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задолженности» по состоянию на 01.01.202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spellStart"/>
      <w:r w:rsidR="00D86378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показал наличие кредиторской задолженности в сумме 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2,3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Дебиторская задолженность по состоянию на 01.01.202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г. составляет </w:t>
      </w:r>
      <w:r w:rsidR="000F640B">
        <w:rPr>
          <w:rFonts w:ascii="Times New Roman" w:hAnsi="Times New Roman" w:cs="Times New Roman"/>
          <w:color w:val="000000"/>
          <w:sz w:val="28"/>
          <w:szCs w:val="28"/>
        </w:rPr>
        <w:t>4,3</w:t>
      </w:r>
      <w:r w:rsidR="00F825A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proofErr w:type="gramStart"/>
      <w:r w:rsidR="002C6B75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анные</w:t>
      </w:r>
      <w:r w:rsidR="002C6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формы соответствуют соответствующим строкам Баланса главного распорядителя,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распорядителя, получателя бюджетных средств, главного администратора,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источников финансирования дефицита бюджета,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администратора, администратора доходов бюджета (ф. 0503130).</w:t>
      </w:r>
    </w:p>
    <w:p w:rsidR="00144DED" w:rsidRPr="00144DED" w:rsidRDefault="009F102F" w:rsidP="00144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44DED">
        <w:rPr>
          <w:rFonts w:ascii="Times New Roman" w:hAnsi="Times New Roman" w:cs="Times New Roman"/>
          <w:color w:val="000000"/>
          <w:sz w:val="28"/>
          <w:szCs w:val="28"/>
          <w:u w:val="single"/>
        </w:rPr>
        <w:t>Пояснительная записка (форма 0503160).</w:t>
      </w:r>
    </w:p>
    <w:p w:rsidR="005C0979" w:rsidRPr="005C0979" w:rsidRDefault="005C0979" w:rsidP="005C0979">
      <w:pPr>
        <w:pStyle w:val="Default"/>
        <w:rPr>
          <w:sz w:val="28"/>
          <w:szCs w:val="28"/>
        </w:rPr>
      </w:pPr>
      <w:r w:rsidRPr="005C0979">
        <w:rPr>
          <w:sz w:val="28"/>
          <w:szCs w:val="28"/>
        </w:rPr>
        <w:t xml:space="preserve">Согласно требованиям п.п. 151-174 Инструкции №191н пояснительная записка к отчету об исполнении бюджета представлена по форме 0503160. </w:t>
      </w:r>
    </w:p>
    <w:p w:rsidR="009F102F" w:rsidRPr="009F102F" w:rsidRDefault="009F102F" w:rsidP="005C0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основным показателям отчет об исполнении бюджета </w:t>
      </w:r>
      <w:proofErr w:type="spellStart"/>
      <w:r w:rsidR="009C461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N 191н.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В целом показатели годовой бюджетной отчетности </w:t>
      </w:r>
      <w:proofErr w:type="spellStart"/>
      <w:r w:rsidR="009C461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102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могут быть признаны достоверными.</w:t>
      </w:r>
      <w:proofErr w:type="gram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Общая характеристика исполнения бюджета </w:t>
      </w:r>
      <w:proofErr w:type="spellStart"/>
      <w:r w:rsidR="009C461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Новокраснянского</w:t>
      </w:r>
      <w:proofErr w:type="spellEnd"/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за 20</w:t>
      </w:r>
      <w:r w:rsidR="00E52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0F64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Бюджет </w:t>
      </w:r>
      <w:proofErr w:type="spellStart"/>
      <w:r w:rsidR="009C461F">
        <w:rPr>
          <w:rFonts w:ascii="Times New Roman" w:hAnsi="Times New Roman" w:cs="Times New Roman"/>
          <w:color w:val="0D0D0D"/>
          <w:sz w:val="28"/>
          <w:szCs w:val="28"/>
        </w:rPr>
        <w:t>Новокраснянского</w:t>
      </w:r>
      <w:proofErr w:type="spellEnd"/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муниципального образования утвержден Решением</w:t>
      </w:r>
      <w:r w:rsidR="009C461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Совета депутатов </w:t>
      </w:r>
      <w:proofErr w:type="spellStart"/>
      <w:r w:rsidR="009C461F">
        <w:rPr>
          <w:rFonts w:ascii="Times New Roman" w:hAnsi="Times New Roman" w:cs="Times New Roman"/>
          <w:color w:val="0D0D0D"/>
          <w:sz w:val="28"/>
          <w:szCs w:val="28"/>
        </w:rPr>
        <w:t>Новокраснянского</w:t>
      </w:r>
      <w:proofErr w:type="spellEnd"/>
      <w:r w:rsidR="00E525E4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муниципального образования от </w:t>
      </w:r>
      <w:r w:rsidR="000054A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0F640B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декабря 20</w:t>
      </w:r>
      <w:r w:rsidR="000054A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0F640B">
        <w:rPr>
          <w:rFonts w:ascii="Times New Roman" w:hAnsi="Times New Roman" w:cs="Times New Roman"/>
          <w:color w:val="0D0D0D"/>
          <w:sz w:val="28"/>
          <w:szCs w:val="28"/>
        </w:rPr>
        <w:t>1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№</w:t>
      </w:r>
      <w:r w:rsidR="000F640B">
        <w:rPr>
          <w:rFonts w:ascii="Times New Roman" w:hAnsi="Times New Roman" w:cs="Times New Roman"/>
          <w:color w:val="0D0D0D"/>
          <w:sz w:val="28"/>
          <w:szCs w:val="28"/>
        </w:rPr>
        <w:t>22-40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«О бюджете </w:t>
      </w:r>
      <w:proofErr w:type="spellStart"/>
      <w:r w:rsidR="009C461F">
        <w:rPr>
          <w:rFonts w:ascii="Times New Roman" w:hAnsi="Times New Roman" w:cs="Times New Roman"/>
          <w:color w:val="0D0D0D"/>
          <w:sz w:val="28"/>
          <w:szCs w:val="28"/>
        </w:rPr>
        <w:t>Новокраснянского</w:t>
      </w:r>
      <w:proofErr w:type="spellEnd"/>
      <w:r w:rsidR="009C461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муниципального образования на 20</w:t>
      </w:r>
      <w:r w:rsidR="00E525E4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="000F640B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 и на</w:t>
      </w:r>
      <w:r w:rsidR="00FD53E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>плановый период 202</w:t>
      </w:r>
      <w:r w:rsidR="000F640B">
        <w:rPr>
          <w:rFonts w:ascii="Times New Roman" w:hAnsi="Times New Roman" w:cs="Times New Roman"/>
          <w:color w:val="0D0D0D"/>
          <w:sz w:val="28"/>
          <w:szCs w:val="28"/>
        </w:rPr>
        <w:t>3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и 202</w:t>
      </w:r>
      <w:r w:rsidR="000F640B"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годов» с основными характеристиками бюджета:</w:t>
      </w:r>
    </w:p>
    <w:p w:rsidR="009F102F" w:rsidRPr="009B1F6B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6B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в сумме </w:t>
      </w:r>
      <w:r w:rsidR="009B1F6B" w:rsidRPr="009B1F6B">
        <w:rPr>
          <w:rFonts w:ascii="Times New Roman" w:hAnsi="Times New Roman" w:cs="Times New Roman"/>
          <w:sz w:val="28"/>
          <w:szCs w:val="28"/>
        </w:rPr>
        <w:t>8053,9</w:t>
      </w:r>
      <w:r w:rsidR="00E525E4" w:rsidRPr="009B1F6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B1F6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F102F" w:rsidRPr="009B1F6B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6B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9B1F6B" w:rsidRPr="009B1F6B">
        <w:rPr>
          <w:rFonts w:ascii="Times New Roman" w:hAnsi="Times New Roman" w:cs="Times New Roman"/>
          <w:sz w:val="28"/>
          <w:szCs w:val="28"/>
        </w:rPr>
        <w:t>8053,9</w:t>
      </w:r>
      <w:r w:rsidR="00E525E4" w:rsidRPr="009B1F6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B1F6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102F" w:rsidRPr="009B1F6B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6B">
        <w:rPr>
          <w:rFonts w:ascii="Times New Roman" w:hAnsi="Times New Roman" w:cs="Times New Roman"/>
          <w:sz w:val="28"/>
          <w:szCs w:val="28"/>
        </w:rPr>
        <w:t>Дефицит бюджета составляет 0 рублей.</w:t>
      </w:r>
    </w:p>
    <w:p w:rsidR="009F102F" w:rsidRPr="009B1F6B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6B">
        <w:rPr>
          <w:rFonts w:ascii="Times New Roman" w:hAnsi="Times New Roman" w:cs="Times New Roman"/>
          <w:sz w:val="28"/>
          <w:szCs w:val="28"/>
        </w:rPr>
        <w:t>В течение 20</w:t>
      </w:r>
      <w:r w:rsidR="00E525E4" w:rsidRPr="009B1F6B">
        <w:rPr>
          <w:rFonts w:ascii="Times New Roman" w:hAnsi="Times New Roman" w:cs="Times New Roman"/>
          <w:sz w:val="28"/>
          <w:szCs w:val="28"/>
        </w:rPr>
        <w:t>2</w:t>
      </w:r>
      <w:r w:rsidR="008B31B2" w:rsidRPr="009B1F6B">
        <w:rPr>
          <w:rFonts w:ascii="Times New Roman" w:hAnsi="Times New Roman" w:cs="Times New Roman"/>
          <w:sz w:val="28"/>
          <w:szCs w:val="28"/>
        </w:rPr>
        <w:t>2</w:t>
      </w:r>
      <w:r w:rsidRPr="009B1F6B">
        <w:rPr>
          <w:rFonts w:ascii="Times New Roman" w:hAnsi="Times New Roman" w:cs="Times New Roman"/>
          <w:sz w:val="28"/>
          <w:szCs w:val="28"/>
        </w:rPr>
        <w:t xml:space="preserve"> года в данное решение вносились изменения.</w:t>
      </w:r>
    </w:p>
    <w:p w:rsidR="009F102F" w:rsidRPr="009B1F6B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6B">
        <w:rPr>
          <w:rFonts w:ascii="Times New Roman" w:hAnsi="Times New Roman" w:cs="Times New Roman"/>
          <w:sz w:val="28"/>
          <w:szCs w:val="28"/>
        </w:rPr>
        <w:t xml:space="preserve">В результате изменений сумма доходной части бюджета увеличилась </w:t>
      </w:r>
      <w:proofErr w:type="gramStart"/>
      <w:r w:rsidRPr="009B1F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F102F" w:rsidRPr="009B1F6B" w:rsidRDefault="009B1F6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F6B">
        <w:rPr>
          <w:rFonts w:ascii="Times New Roman" w:hAnsi="Times New Roman" w:cs="Times New Roman"/>
          <w:sz w:val="28"/>
          <w:szCs w:val="28"/>
        </w:rPr>
        <w:t>117,2</w:t>
      </w:r>
      <w:r w:rsidR="00E525E4" w:rsidRPr="009B1F6B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02F" w:rsidRPr="009B1F6B">
        <w:rPr>
          <w:rFonts w:ascii="Times New Roman" w:hAnsi="Times New Roman" w:cs="Times New Roman"/>
          <w:sz w:val="28"/>
          <w:szCs w:val="28"/>
        </w:rPr>
        <w:t xml:space="preserve"> рублей или на </w:t>
      </w:r>
      <w:r w:rsidRPr="009B1F6B">
        <w:rPr>
          <w:rFonts w:ascii="Times New Roman" w:hAnsi="Times New Roman" w:cs="Times New Roman"/>
          <w:sz w:val="28"/>
          <w:szCs w:val="28"/>
        </w:rPr>
        <w:t>4,0</w:t>
      </w:r>
      <w:r w:rsidR="009F102F" w:rsidRPr="009B1F6B">
        <w:rPr>
          <w:rFonts w:ascii="Times New Roman" w:hAnsi="Times New Roman" w:cs="Times New Roman"/>
          <w:sz w:val="28"/>
          <w:szCs w:val="28"/>
        </w:rPr>
        <w:t xml:space="preserve">%. Расходной части бюджета увеличилась на </w:t>
      </w:r>
      <w:r w:rsidR="008E6C24" w:rsidRPr="009B1F6B">
        <w:rPr>
          <w:rFonts w:ascii="Times New Roman" w:hAnsi="Times New Roman" w:cs="Times New Roman"/>
          <w:sz w:val="28"/>
          <w:szCs w:val="28"/>
        </w:rPr>
        <w:t xml:space="preserve"> </w:t>
      </w:r>
      <w:r w:rsidRPr="009B1F6B">
        <w:rPr>
          <w:rFonts w:ascii="Times New Roman" w:hAnsi="Times New Roman" w:cs="Times New Roman"/>
          <w:sz w:val="28"/>
          <w:szCs w:val="28"/>
        </w:rPr>
        <w:t>253,5</w:t>
      </w:r>
      <w:r w:rsidR="000054AB" w:rsidRPr="009B1F6B">
        <w:rPr>
          <w:rFonts w:ascii="Times New Roman" w:hAnsi="Times New Roman" w:cs="Times New Roman"/>
          <w:sz w:val="28"/>
          <w:szCs w:val="28"/>
        </w:rPr>
        <w:t xml:space="preserve"> </w:t>
      </w:r>
      <w:r w:rsidR="008E6C24" w:rsidRPr="009B1F6B">
        <w:rPr>
          <w:rFonts w:ascii="Times New Roman" w:hAnsi="Times New Roman" w:cs="Times New Roman"/>
          <w:sz w:val="28"/>
          <w:szCs w:val="28"/>
        </w:rPr>
        <w:t>тыс.</w:t>
      </w:r>
      <w:r w:rsidR="00FD53EE" w:rsidRPr="009B1F6B">
        <w:rPr>
          <w:rFonts w:ascii="Times New Roman" w:hAnsi="Times New Roman" w:cs="Times New Roman"/>
          <w:sz w:val="28"/>
          <w:szCs w:val="28"/>
        </w:rPr>
        <w:t xml:space="preserve"> </w:t>
      </w:r>
      <w:r w:rsidR="009F102F" w:rsidRPr="009B1F6B">
        <w:rPr>
          <w:rFonts w:ascii="Times New Roman" w:hAnsi="Times New Roman" w:cs="Times New Roman"/>
          <w:sz w:val="28"/>
          <w:szCs w:val="28"/>
        </w:rPr>
        <w:t xml:space="preserve">рублей или на </w:t>
      </w:r>
      <w:r w:rsidRPr="009B1F6B">
        <w:rPr>
          <w:rFonts w:ascii="Times New Roman" w:hAnsi="Times New Roman" w:cs="Times New Roman"/>
          <w:sz w:val="28"/>
          <w:szCs w:val="28"/>
        </w:rPr>
        <w:t>3,1</w:t>
      </w:r>
      <w:r w:rsidR="009F102F" w:rsidRPr="009B1F6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Таким образом, утвержденные бюджетные назначения на 01.01.202</w:t>
      </w:r>
      <w:r w:rsidR="008B31B2">
        <w:rPr>
          <w:rFonts w:ascii="Times New Roman" w:hAnsi="Times New Roman" w:cs="Times New Roman"/>
          <w:color w:val="0D0D0D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года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>составили (таблица 1):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1) общий объем доходов бюджета в сумме </w:t>
      </w:r>
      <w:r w:rsidR="003620A5">
        <w:rPr>
          <w:rFonts w:ascii="Times New Roman" w:hAnsi="Times New Roman" w:cs="Times New Roman"/>
          <w:color w:val="0D0D0D"/>
          <w:sz w:val="28"/>
          <w:szCs w:val="28"/>
        </w:rPr>
        <w:t>8180,5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рублей;</w:t>
      </w:r>
    </w:p>
    <w:p w:rsidR="009F102F" w:rsidRP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2) общий объем расходов бюджета в сумме </w:t>
      </w:r>
      <w:r w:rsidR="003620A5">
        <w:rPr>
          <w:rFonts w:ascii="Times New Roman" w:hAnsi="Times New Roman" w:cs="Times New Roman"/>
          <w:color w:val="0D0D0D"/>
          <w:sz w:val="28"/>
          <w:szCs w:val="28"/>
        </w:rPr>
        <w:t>8307,4</w:t>
      </w:r>
      <w:r w:rsidR="008E6C24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9F102F" w:rsidRPr="009F102F" w:rsidRDefault="000054AB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Дефицит бюджета составляет </w:t>
      </w:r>
      <w:r w:rsidR="003620A5">
        <w:rPr>
          <w:rFonts w:ascii="Times New Roman" w:hAnsi="Times New Roman" w:cs="Times New Roman"/>
          <w:color w:val="0D0D0D"/>
          <w:sz w:val="28"/>
          <w:szCs w:val="28"/>
        </w:rPr>
        <w:t>126,9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F825AB">
        <w:rPr>
          <w:rFonts w:ascii="Times New Roman" w:hAnsi="Times New Roman" w:cs="Times New Roman"/>
          <w:color w:val="0D0D0D"/>
          <w:sz w:val="28"/>
          <w:szCs w:val="28"/>
        </w:rPr>
        <w:t>тыс</w:t>
      </w:r>
      <w:proofErr w:type="gramStart"/>
      <w:r w:rsidR="00F825AB">
        <w:rPr>
          <w:rFonts w:ascii="Times New Roman" w:hAnsi="Times New Roman" w:cs="Times New Roman"/>
          <w:color w:val="0D0D0D"/>
          <w:sz w:val="28"/>
          <w:szCs w:val="28"/>
        </w:rPr>
        <w:t>.</w:t>
      </w:r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>р</w:t>
      </w:r>
      <w:proofErr w:type="gramEnd"/>
      <w:r w:rsidR="009F102F" w:rsidRPr="009F102F">
        <w:rPr>
          <w:rFonts w:ascii="Times New Roman" w:hAnsi="Times New Roman" w:cs="Times New Roman"/>
          <w:color w:val="0D0D0D"/>
          <w:sz w:val="28"/>
          <w:szCs w:val="28"/>
        </w:rPr>
        <w:t>ублей.</w:t>
      </w:r>
    </w:p>
    <w:p w:rsidR="009F102F" w:rsidRDefault="009F102F" w:rsidP="009F1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102F">
        <w:rPr>
          <w:rFonts w:ascii="Times New Roman" w:hAnsi="Times New Roman" w:cs="Times New Roman"/>
          <w:color w:val="000000"/>
          <w:sz w:val="28"/>
          <w:szCs w:val="28"/>
        </w:rPr>
        <w:t>Исполнение за 20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620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год по доходам составило</w:t>
      </w:r>
      <w:r w:rsidR="00F01F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20A5">
        <w:rPr>
          <w:rFonts w:ascii="Times New Roman" w:hAnsi="Times New Roman" w:cs="Times New Roman"/>
          <w:color w:val="000000"/>
          <w:sz w:val="28"/>
          <w:szCs w:val="28"/>
        </w:rPr>
        <w:t>8316,2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 w:rsidR="000054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620A5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="003620A5">
        <w:rPr>
          <w:rFonts w:ascii="Times New Roman" w:hAnsi="Times New Roman" w:cs="Times New Roman"/>
          <w:color w:val="000000"/>
          <w:sz w:val="28"/>
          <w:szCs w:val="28"/>
        </w:rPr>
        <w:t>8009,8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8E6C2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102F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E6C24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9F102F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3620A5">
        <w:rPr>
          <w:rFonts w:ascii="Times New Roman" w:hAnsi="Times New Roman" w:cs="Times New Roman"/>
          <w:color w:val="000000"/>
          <w:sz w:val="28"/>
          <w:szCs w:val="28"/>
        </w:rPr>
        <w:t>96,4</w:t>
      </w:r>
      <w:r w:rsidRPr="009F102F">
        <w:rPr>
          <w:rFonts w:ascii="Times New Roman" w:hAnsi="Times New Roman" w:cs="Times New Roman"/>
          <w:sz w:val="28"/>
          <w:szCs w:val="28"/>
        </w:rPr>
        <w:t>%, от уточненных бюджетных назначений,</w:t>
      </w:r>
      <w:r w:rsidR="00FD5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7FFA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047FFA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3620A5">
        <w:rPr>
          <w:rFonts w:ascii="Times New Roman" w:hAnsi="Times New Roman" w:cs="Times New Roman"/>
          <w:sz w:val="28"/>
          <w:szCs w:val="28"/>
        </w:rPr>
        <w:t>306,4</w:t>
      </w:r>
      <w:r w:rsidR="00047FFA">
        <w:rPr>
          <w:rFonts w:ascii="Times New Roman" w:hAnsi="Times New Roman" w:cs="Times New Roman"/>
          <w:sz w:val="28"/>
          <w:szCs w:val="28"/>
        </w:rPr>
        <w:t xml:space="preserve"> </w:t>
      </w:r>
      <w:r w:rsidR="00E1612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9F102F">
        <w:rPr>
          <w:rFonts w:ascii="Times New Roman" w:hAnsi="Times New Roman" w:cs="Times New Roman"/>
          <w:sz w:val="28"/>
          <w:szCs w:val="28"/>
        </w:rPr>
        <w:t>рублей.</w:t>
      </w:r>
    </w:p>
    <w:p w:rsidR="009F102F" w:rsidRDefault="009F102F" w:rsidP="00FD53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Основные параметры бюджета </w:t>
      </w:r>
      <w:proofErr w:type="spellStart"/>
      <w:r w:rsidR="00D87EE1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по</w:t>
      </w:r>
      <w:r w:rsidR="00ED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b/>
          <w:sz w:val="28"/>
          <w:szCs w:val="28"/>
        </w:rPr>
        <w:t>итогам 20</w:t>
      </w:r>
      <w:r w:rsidR="00ED164F">
        <w:rPr>
          <w:rFonts w:ascii="Times New Roman" w:hAnsi="Times New Roman" w:cs="Times New Roman"/>
          <w:b/>
          <w:sz w:val="28"/>
          <w:szCs w:val="28"/>
        </w:rPr>
        <w:t>2</w:t>
      </w:r>
      <w:r w:rsidR="003620A5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D164F">
        <w:rPr>
          <w:rFonts w:ascii="Times New Roman" w:hAnsi="Times New Roman" w:cs="Times New Roman"/>
          <w:sz w:val="28"/>
          <w:szCs w:val="28"/>
        </w:rPr>
        <w:t>(</w:t>
      </w:r>
      <w:r w:rsidR="00ED164F" w:rsidRPr="00ED164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ED164F" w:rsidRPr="00ED164F">
        <w:rPr>
          <w:rFonts w:ascii="Times New Roman" w:hAnsi="Times New Roman" w:cs="Times New Roman"/>
          <w:sz w:val="28"/>
          <w:szCs w:val="28"/>
        </w:rPr>
        <w:t>.</w:t>
      </w:r>
      <w:r w:rsidRPr="00ED16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D164F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0" w:type="auto"/>
        <w:tblLayout w:type="fixed"/>
        <w:tblLook w:val="04A0"/>
      </w:tblPr>
      <w:tblGrid>
        <w:gridCol w:w="2660"/>
        <w:gridCol w:w="1559"/>
        <w:gridCol w:w="1418"/>
        <w:gridCol w:w="1275"/>
        <w:gridCol w:w="1070"/>
        <w:gridCol w:w="1589"/>
      </w:tblGrid>
      <w:tr w:rsidR="00867AD5" w:rsidTr="00867AD5">
        <w:trPr>
          <w:trHeight w:val="1408"/>
        </w:trPr>
        <w:tc>
          <w:tcPr>
            <w:tcW w:w="266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418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275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070" w:type="dxa"/>
          </w:tcPr>
          <w:p w:rsidR="00144DED" w:rsidRPr="00867AD5" w:rsidRDefault="00144DED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%испол</w:t>
            </w:r>
            <w:r w:rsidR="00867AD5" w:rsidRPr="00867AD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ения к уточненным бюджетным назначениям</w:t>
            </w:r>
          </w:p>
        </w:tc>
        <w:tc>
          <w:tcPr>
            <w:tcW w:w="1589" w:type="dxa"/>
          </w:tcPr>
          <w:p w:rsidR="00144DED" w:rsidRDefault="00867AD5" w:rsidP="00867AD5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65610C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AD5" w:rsidRPr="009C4B1E">
              <w:rPr>
                <w:rFonts w:ascii="Times New Roman" w:hAnsi="Times New Roman" w:cs="Times New Roman"/>
                <w:sz w:val="24"/>
                <w:szCs w:val="24"/>
              </w:rPr>
              <w:t>оходы бюджета, всего</w:t>
            </w:r>
          </w:p>
        </w:tc>
        <w:tc>
          <w:tcPr>
            <w:tcW w:w="1559" w:type="dxa"/>
          </w:tcPr>
          <w:p w:rsidR="00144DED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8053,9</w:t>
            </w:r>
          </w:p>
        </w:tc>
        <w:tc>
          <w:tcPr>
            <w:tcW w:w="1418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8180,5</w:t>
            </w:r>
          </w:p>
        </w:tc>
        <w:tc>
          <w:tcPr>
            <w:tcW w:w="1275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8316,2</w:t>
            </w:r>
          </w:p>
        </w:tc>
        <w:tc>
          <w:tcPr>
            <w:tcW w:w="1070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589" w:type="dxa"/>
          </w:tcPr>
          <w:p w:rsidR="00144DED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+126,6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в т.ч. налоговые и неналоговые</w:t>
            </w:r>
          </w:p>
        </w:tc>
        <w:tc>
          <w:tcPr>
            <w:tcW w:w="1559" w:type="dxa"/>
          </w:tcPr>
          <w:p w:rsidR="00144DED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2942,7</w:t>
            </w:r>
          </w:p>
        </w:tc>
        <w:tc>
          <w:tcPr>
            <w:tcW w:w="1418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3059,9</w:t>
            </w:r>
          </w:p>
        </w:tc>
        <w:tc>
          <w:tcPr>
            <w:tcW w:w="1275" w:type="dxa"/>
          </w:tcPr>
          <w:p w:rsidR="00144DED" w:rsidRDefault="00A84C3A" w:rsidP="008209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3195,6</w:t>
            </w:r>
          </w:p>
        </w:tc>
        <w:tc>
          <w:tcPr>
            <w:tcW w:w="1070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104,4</w:t>
            </w:r>
          </w:p>
        </w:tc>
        <w:tc>
          <w:tcPr>
            <w:tcW w:w="1589" w:type="dxa"/>
          </w:tcPr>
          <w:p w:rsidR="00144DED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+117,2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</w:tcPr>
          <w:p w:rsidR="00144DED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5111,2</w:t>
            </w:r>
          </w:p>
        </w:tc>
        <w:tc>
          <w:tcPr>
            <w:tcW w:w="1418" w:type="dxa"/>
          </w:tcPr>
          <w:p w:rsidR="00144DED" w:rsidRDefault="00A84C3A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5120,6</w:t>
            </w:r>
          </w:p>
        </w:tc>
        <w:tc>
          <w:tcPr>
            <w:tcW w:w="1275" w:type="dxa"/>
          </w:tcPr>
          <w:p w:rsidR="00B466AE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5120,6</w:t>
            </w:r>
          </w:p>
        </w:tc>
        <w:tc>
          <w:tcPr>
            <w:tcW w:w="1070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589" w:type="dxa"/>
          </w:tcPr>
          <w:p w:rsidR="00144DED" w:rsidRDefault="009B1F6B" w:rsidP="000945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+9,4</w:t>
            </w:r>
          </w:p>
        </w:tc>
      </w:tr>
      <w:tr w:rsidR="00867AD5" w:rsidTr="00867AD5">
        <w:tc>
          <w:tcPr>
            <w:tcW w:w="2660" w:type="dxa"/>
          </w:tcPr>
          <w:p w:rsidR="00144DED" w:rsidRPr="009C4B1E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559" w:type="dxa"/>
          </w:tcPr>
          <w:p w:rsidR="00144DED" w:rsidRDefault="009B1F6B" w:rsidP="00B46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8053,9</w:t>
            </w:r>
          </w:p>
        </w:tc>
        <w:tc>
          <w:tcPr>
            <w:tcW w:w="1418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8307,4</w:t>
            </w:r>
          </w:p>
        </w:tc>
        <w:tc>
          <w:tcPr>
            <w:tcW w:w="1275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8009,8</w:t>
            </w:r>
          </w:p>
        </w:tc>
        <w:tc>
          <w:tcPr>
            <w:tcW w:w="1070" w:type="dxa"/>
          </w:tcPr>
          <w:p w:rsidR="00144DED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</w:p>
        </w:tc>
        <w:tc>
          <w:tcPr>
            <w:tcW w:w="1589" w:type="dxa"/>
          </w:tcPr>
          <w:p w:rsidR="00144DED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+253,5</w:t>
            </w:r>
          </w:p>
        </w:tc>
      </w:tr>
      <w:tr w:rsidR="00867AD5" w:rsidTr="00867AD5">
        <w:tc>
          <w:tcPr>
            <w:tcW w:w="2660" w:type="dxa"/>
          </w:tcPr>
          <w:p w:rsidR="00867AD5" w:rsidRPr="009C4B1E" w:rsidRDefault="00867AD5" w:rsidP="00867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Дефици</w:t>
            </w:r>
            <w:proofErr w:type="gram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-), </w:t>
            </w:r>
            <w:proofErr w:type="spellStart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9C4B1E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</w:tcPr>
          <w:p w:rsidR="00867AD5" w:rsidRDefault="009B1F6B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7AD5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-126,9</w:t>
            </w:r>
          </w:p>
        </w:tc>
        <w:tc>
          <w:tcPr>
            <w:tcW w:w="1275" w:type="dxa"/>
          </w:tcPr>
          <w:p w:rsidR="00867AD5" w:rsidRDefault="00A84C3A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306,4</w:t>
            </w:r>
          </w:p>
        </w:tc>
        <w:tc>
          <w:tcPr>
            <w:tcW w:w="1070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67AD5" w:rsidRDefault="00867AD5" w:rsidP="009F1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3EE" w:rsidRPr="00FD53EE" w:rsidRDefault="00FD53EE" w:rsidP="00931B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Исполнение доходной части бюджета за 20</w:t>
      </w:r>
      <w:r w:rsidR="00931B0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167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общем объеме доходов, поступивших за 20</w:t>
      </w:r>
      <w:r w:rsidR="006E3E62">
        <w:rPr>
          <w:rFonts w:ascii="Times New Roman" w:hAnsi="Times New Roman" w:cs="Times New Roman"/>
          <w:sz w:val="28"/>
          <w:szCs w:val="28"/>
        </w:rPr>
        <w:t>2</w:t>
      </w:r>
      <w:r w:rsidR="0041676C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год, налоговые и неналоговые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доходы составляют </w:t>
      </w:r>
      <w:r w:rsidR="0041676C">
        <w:rPr>
          <w:rFonts w:ascii="Times New Roman" w:hAnsi="Times New Roman" w:cs="Times New Roman"/>
          <w:sz w:val="28"/>
          <w:szCs w:val="28"/>
        </w:rPr>
        <w:t>3195,6</w:t>
      </w:r>
      <w:r w:rsidR="000945D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945D4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</w:t>
      </w:r>
      <w:r w:rsidR="00FC36CB">
        <w:rPr>
          <w:rFonts w:ascii="Times New Roman" w:hAnsi="Times New Roman" w:cs="Times New Roman"/>
          <w:sz w:val="28"/>
          <w:szCs w:val="28"/>
        </w:rPr>
        <w:t>,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ф</w:t>
      </w:r>
      <w:r w:rsidRPr="00FD53EE">
        <w:rPr>
          <w:rFonts w:ascii="Times New Roman" w:hAnsi="Times New Roman" w:cs="Times New Roman"/>
          <w:sz w:val="28"/>
          <w:szCs w:val="28"/>
        </w:rPr>
        <w:t xml:space="preserve">инансовая помощь получена в сумме </w:t>
      </w:r>
      <w:r w:rsidR="0041676C">
        <w:rPr>
          <w:rFonts w:ascii="Times New Roman" w:hAnsi="Times New Roman" w:cs="Times New Roman"/>
          <w:sz w:val="28"/>
          <w:szCs w:val="28"/>
        </w:rPr>
        <w:t>5120,6</w:t>
      </w:r>
      <w:r w:rsidR="007068DC">
        <w:rPr>
          <w:rFonts w:ascii="Times New Roman" w:hAnsi="Times New Roman" w:cs="Times New Roman"/>
          <w:sz w:val="28"/>
          <w:szCs w:val="28"/>
        </w:rPr>
        <w:t xml:space="preserve"> </w:t>
      </w:r>
      <w:r w:rsidR="00FC36CB">
        <w:rPr>
          <w:rFonts w:ascii="Times New Roman" w:hAnsi="Times New Roman" w:cs="Times New Roman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C36CB">
        <w:rPr>
          <w:rFonts w:ascii="Times New Roman" w:hAnsi="Times New Roman" w:cs="Times New Roman"/>
          <w:sz w:val="28"/>
          <w:szCs w:val="28"/>
        </w:rPr>
        <w:t>в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передаваемых бюджетам поселений из бюджета муниципального района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заключенным соглашениям о передаче полномочий</w:t>
      </w:r>
      <w:r w:rsidR="00FC36CB">
        <w:rPr>
          <w:rFonts w:ascii="Times New Roman" w:hAnsi="Times New Roman" w:cs="Times New Roman"/>
          <w:sz w:val="28"/>
          <w:szCs w:val="28"/>
        </w:rPr>
        <w:t>.</w:t>
      </w:r>
    </w:p>
    <w:p w:rsidR="00FD53EE" w:rsidRPr="00FC36CB" w:rsidRDefault="00FD53EE" w:rsidP="00FC36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b/>
          <w:sz w:val="28"/>
          <w:szCs w:val="28"/>
        </w:rPr>
        <w:t xml:space="preserve">Динамика поступления доходов </w:t>
      </w:r>
      <w:proofErr w:type="spellStart"/>
      <w:r w:rsidR="007068DC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b/>
          <w:sz w:val="28"/>
          <w:szCs w:val="28"/>
        </w:rPr>
        <w:t xml:space="preserve"> МО за 20</w:t>
      </w:r>
      <w:r w:rsidR="00FC36CB">
        <w:rPr>
          <w:rFonts w:ascii="Times New Roman" w:hAnsi="Times New Roman" w:cs="Times New Roman"/>
          <w:b/>
          <w:sz w:val="28"/>
          <w:szCs w:val="28"/>
        </w:rPr>
        <w:t>2</w:t>
      </w:r>
      <w:r w:rsidR="0041676C">
        <w:rPr>
          <w:rFonts w:ascii="Times New Roman" w:hAnsi="Times New Roman" w:cs="Times New Roman"/>
          <w:b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C36CB" w:rsidRPr="00FC36CB">
        <w:rPr>
          <w:rFonts w:ascii="Times New Roman" w:hAnsi="Times New Roman" w:cs="Times New Roman"/>
          <w:sz w:val="28"/>
          <w:szCs w:val="28"/>
        </w:rPr>
        <w:t>Табл.2</w:t>
      </w:r>
      <w:r w:rsidR="0041676C">
        <w:rPr>
          <w:rFonts w:ascii="Times New Roman" w:hAnsi="Times New Roman" w:cs="Times New Roman"/>
          <w:sz w:val="28"/>
          <w:szCs w:val="28"/>
        </w:rPr>
        <w:t>,</w:t>
      </w:r>
      <w:r w:rsidR="00FC3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</w:t>
      </w:r>
      <w:r w:rsidR="00FC36CB" w:rsidRPr="00FC36C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C36CB" w:rsidRPr="00FC36CB">
        <w:rPr>
          <w:rFonts w:ascii="Times New Roman" w:hAnsi="Times New Roman" w:cs="Times New Roman"/>
          <w:sz w:val="28"/>
          <w:szCs w:val="28"/>
        </w:rPr>
        <w:t>.</w:t>
      </w:r>
      <w:r w:rsidRPr="00FC36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571" w:type="dxa"/>
        <w:tblLayout w:type="fixed"/>
        <w:tblLook w:val="04A0"/>
      </w:tblPr>
      <w:tblGrid>
        <w:gridCol w:w="2235"/>
        <w:gridCol w:w="1134"/>
        <w:gridCol w:w="1134"/>
        <w:gridCol w:w="1134"/>
        <w:gridCol w:w="1559"/>
        <w:gridCol w:w="1276"/>
        <w:gridCol w:w="1099"/>
      </w:tblGrid>
      <w:tr w:rsidR="00C80913" w:rsidTr="00E23417">
        <w:tc>
          <w:tcPr>
            <w:tcW w:w="2235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1134" w:type="dxa"/>
          </w:tcPr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559" w:type="dxa"/>
          </w:tcPr>
          <w:p w:rsidR="00C80913" w:rsidRDefault="00C80913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1276" w:type="dxa"/>
          </w:tcPr>
          <w:p w:rsidR="00C80913" w:rsidRDefault="00C80913" w:rsidP="00FC36C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80913" w:rsidRPr="00867AD5" w:rsidRDefault="00C8091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C80913" w:rsidRDefault="00C80913" w:rsidP="004167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41676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C80913" w:rsidRPr="00FC36CB" w:rsidRDefault="00C80913" w:rsidP="00FC36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2942,7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3059,9</w:t>
            </w:r>
          </w:p>
        </w:tc>
        <w:tc>
          <w:tcPr>
            <w:tcW w:w="1134" w:type="dxa"/>
          </w:tcPr>
          <w:p w:rsidR="00C80913" w:rsidRPr="00CD69C2" w:rsidRDefault="00CF2141" w:rsidP="00767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3195,6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+117,2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  <w:tc>
          <w:tcPr>
            <w:tcW w:w="1099" w:type="dxa"/>
          </w:tcPr>
          <w:p w:rsidR="00C80913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38,4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2910,1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3028,3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3171,8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+261,7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99" w:type="dxa"/>
          </w:tcPr>
          <w:p w:rsidR="00C80913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</w:tr>
      <w:tr w:rsidR="00C80913" w:rsidTr="00E23417">
        <w:tc>
          <w:tcPr>
            <w:tcW w:w="2235" w:type="dxa"/>
          </w:tcPr>
          <w:p w:rsidR="00C80913" w:rsidRPr="00FC36CB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C36C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887,0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1003,8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1050,7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+116,8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099" w:type="dxa"/>
          </w:tcPr>
          <w:p w:rsidR="00C80913" w:rsidRPr="008B2E2C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6D04E0" w:rsidTr="00E23417">
        <w:tc>
          <w:tcPr>
            <w:tcW w:w="2235" w:type="dxa"/>
          </w:tcPr>
          <w:p w:rsidR="006D04E0" w:rsidRPr="00FC36CB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</w:t>
            </w:r>
          </w:p>
        </w:tc>
        <w:tc>
          <w:tcPr>
            <w:tcW w:w="1134" w:type="dxa"/>
          </w:tcPr>
          <w:p w:rsidR="006D04E0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1010,0</w:t>
            </w:r>
          </w:p>
        </w:tc>
        <w:tc>
          <w:tcPr>
            <w:tcW w:w="1134" w:type="dxa"/>
          </w:tcPr>
          <w:p w:rsidR="006D04E0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1010,1</w:t>
            </w:r>
          </w:p>
        </w:tc>
        <w:tc>
          <w:tcPr>
            <w:tcW w:w="1134" w:type="dxa"/>
          </w:tcPr>
          <w:p w:rsidR="006D04E0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1175,6</w:t>
            </w:r>
          </w:p>
        </w:tc>
        <w:tc>
          <w:tcPr>
            <w:tcW w:w="1559" w:type="dxa"/>
          </w:tcPr>
          <w:p w:rsidR="006D04E0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:rsidR="006D04E0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1099" w:type="dxa"/>
          </w:tcPr>
          <w:p w:rsidR="006D04E0" w:rsidRPr="008B2E2C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B044B5">
              <w:rPr>
                <w:rFonts w:ascii="Times New Roman" w:hAnsi="Times New Roman" w:cs="Times New Roman"/>
              </w:rPr>
              <w:t>х</w:t>
            </w:r>
            <w:proofErr w:type="spellEnd"/>
            <w:r w:rsidRPr="00B044B5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+18,2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405EF1" w:rsidP="008B2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1009,0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992,2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-16,8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99" w:type="dxa"/>
          </w:tcPr>
          <w:p w:rsidR="00C80913" w:rsidRPr="008B2E2C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099" w:type="dxa"/>
          </w:tcPr>
          <w:p w:rsidR="00C80913" w:rsidRPr="008B2E2C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59" w:type="dxa"/>
          </w:tcPr>
          <w:p w:rsidR="00C80913" w:rsidRPr="00CD69C2" w:rsidRDefault="00A93F34" w:rsidP="00A9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099" w:type="dxa"/>
          </w:tcPr>
          <w:p w:rsidR="00C80913" w:rsidRPr="00270A9D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5111,2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5120,6</w:t>
            </w:r>
          </w:p>
        </w:tc>
        <w:tc>
          <w:tcPr>
            <w:tcW w:w="1134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5120,6</w:t>
            </w:r>
          </w:p>
        </w:tc>
        <w:tc>
          <w:tcPr>
            <w:tcW w:w="1559" w:type="dxa"/>
          </w:tcPr>
          <w:p w:rsidR="00C80913" w:rsidRPr="00CD69C2" w:rsidRDefault="00A93F34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1276" w:type="dxa"/>
          </w:tcPr>
          <w:p w:rsidR="00C80913" w:rsidRPr="00CD69C2" w:rsidRDefault="006D04E0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270A9D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61,6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559" w:type="dxa"/>
          </w:tcPr>
          <w:p w:rsidR="00C80913" w:rsidRPr="00CD69C2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F2141" w:rsidTr="00E23417">
        <w:tc>
          <w:tcPr>
            <w:tcW w:w="2235" w:type="dxa"/>
          </w:tcPr>
          <w:p w:rsidR="00CF2141" w:rsidRPr="00B044B5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</w:t>
            </w:r>
          </w:p>
        </w:tc>
        <w:tc>
          <w:tcPr>
            <w:tcW w:w="1134" w:type="dxa"/>
          </w:tcPr>
          <w:p w:rsidR="00CF2141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4923,0</w:t>
            </w:r>
          </w:p>
        </w:tc>
        <w:tc>
          <w:tcPr>
            <w:tcW w:w="1134" w:type="dxa"/>
          </w:tcPr>
          <w:p w:rsidR="00CF2141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4923,0</w:t>
            </w:r>
          </w:p>
        </w:tc>
        <w:tc>
          <w:tcPr>
            <w:tcW w:w="1134" w:type="dxa"/>
          </w:tcPr>
          <w:p w:rsidR="00CF2141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4923,0</w:t>
            </w:r>
          </w:p>
        </w:tc>
        <w:tc>
          <w:tcPr>
            <w:tcW w:w="1559" w:type="dxa"/>
          </w:tcPr>
          <w:p w:rsidR="00CF2141" w:rsidRPr="00CD69C2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F2141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F2141" w:rsidRPr="008B2E2C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4B5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C80913" w:rsidRPr="00CD69C2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C80913" w:rsidRPr="008B2E2C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80913" w:rsidTr="00E23417">
        <w:tc>
          <w:tcPr>
            <w:tcW w:w="2235" w:type="dxa"/>
          </w:tcPr>
          <w:p w:rsidR="00C80913" w:rsidRPr="00B044B5" w:rsidRDefault="00C80913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B044B5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8053,9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8180,5</w:t>
            </w:r>
          </w:p>
        </w:tc>
        <w:tc>
          <w:tcPr>
            <w:tcW w:w="1134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8316,2</w:t>
            </w:r>
          </w:p>
        </w:tc>
        <w:tc>
          <w:tcPr>
            <w:tcW w:w="1559" w:type="dxa"/>
          </w:tcPr>
          <w:p w:rsidR="00C80913" w:rsidRPr="00CD69C2" w:rsidRDefault="00405EF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+126,6</w:t>
            </w:r>
          </w:p>
        </w:tc>
        <w:tc>
          <w:tcPr>
            <w:tcW w:w="1276" w:type="dxa"/>
          </w:tcPr>
          <w:p w:rsidR="00C80913" w:rsidRPr="00CD69C2" w:rsidRDefault="00CF2141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099" w:type="dxa"/>
          </w:tcPr>
          <w:p w:rsidR="00C80913" w:rsidRPr="009A4120" w:rsidRDefault="009307F5" w:rsidP="00FD53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52B16">
        <w:rPr>
          <w:rFonts w:ascii="Times New Roman" w:hAnsi="Times New Roman" w:cs="Times New Roman"/>
          <w:sz w:val="28"/>
          <w:szCs w:val="28"/>
        </w:rPr>
        <w:t>Анализ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в разрезе показателей показал (таблица №2):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доходы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 отчетный период исполнен в объеме</w:t>
      </w:r>
    </w:p>
    <w:p w:rsidR="00FD53EE" w:rsidRDefault="00312E6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1050,7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32007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105,0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%, при сумме утвержденных бюджетных назначений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1003,8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12E61" w:rsidRDefault="00312E6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E61">
        <w:rPr>
          <w:rFonts w:ascii="Times New Roman" w:hAnsi="Times New Roman" w:cs="Times New Roman"/>
          <w:i/>
          <w:color w:val="000000"/>
          <w:sz w:val="28"/>
          <w:szCs w:val="28"/>
        </w:rPr>
        <w:t>Акцизы по подакцизным товарам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исполнены в объеме 1175,6 тыс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ублей или 116,4 %, при сумме утвержденных бюджетных назначений 1010,1 тыс.рублей.</w:t>
      </w:r>
    </w:p>
    <w:p w:rsidR="00312E61" w:rsidRPr="00312E61" w:rsidRDefault="00312E61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2E6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Единый сельскохозяйственный налог </w:t>
      </w:r>
      <w:r w:rsidRPr="00312E61">
        <w:rPr>
          <w:rFonts w:ascii="Times New Roman" w:hAnsi="Times New Roman" w:cs="Times New Roman"/>
          <w:color w:val="000000"/>
          <w:sz w:val="28"/>
          <w:szCs w:val="28"/>
        </w:rPr>
        <w:t>исполнен в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объеме 18,2 тыс</w:t>
      </w:r>
      <w:proofErr w:type="gramStart"/>
      <w:r w:rsidR="009B0340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9B0340">
        <w:rPr>
          <w:rFonts w:ascii="Times New Roman" w:hAnsi="Times New Roman" w:cs="Times New Roman"/>
          <w:color w:val="000000"/>
          <w:sz w:val="28"/>
          <w:szCs w:val="28"/>
        </w:rPr>
        <w:t>ублей или 100% к утвержденным бюджетным назначениям.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Налог на имущество физических лиц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в 20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12E6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923,0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при плане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992,2</w:t>
      </w:r>
      <w:r w:rsidR="00320070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 составляет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93,0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Pr="00FD53EE" w:rsidRDefault="0032007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Госпошлина,</w:t>
      </w:r>
      <w:r w:rsidR="00270A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сборы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4,3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270A9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ублей или</w:t>
      </w:r>
    </w:p>
    <w:p w:rsidR="00FD53EE" w:rsidRPr="00FD53EE" w:rsidRDefault="009B0340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107,5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при запланированной сумме поступлений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>4,0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При формировании собственных доходов бюджета в 20</w:t>
      </w:r>
      <w:r w:rsidR="00270A9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наибольший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удельный вес в структуре налоговых и неналоговых доходов бюджета занимает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акцизы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37,1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1175,6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вторым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величине является налог на </w:t>
      </w:r>
      <w:r w:rsidR="000D787D">
        <w:rPr>
          <w:rFonts w:ascii="Times New Roman" w:hAnsi="Times New Roman" w:cs="Times New Roman"/>
          <w:color w:val="000000"/>
          <w:sz w:val="28"/>
          <w:szCs w:val="28"/>
        </w:rPr>
        <w:t xml:space="preserve">доходы физических лиц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33,1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1050,7</w:t>
      </w:r>
      <w:r w:rsidR="00DC6941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proofErr w:type="gramStart"/>
      <w:r w:rsidR="00DC69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ублей.</w:t>
      </w:r>
    </w:p>
    <w:p w:rsidR="00FD53EE" w:rsidRPr="00FD53EE" w:rsidRDefault="00FD53EE" w:rsidP="00CE6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Безвозмездные поступления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объеме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5120,6</w:t>
      </w:r>
      <w:r w:rsidR="00F37E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 xml:space="preserve"> или 100% к плану.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Дотация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9B0340">
        <w:rPr>
          <w:rFonts w:ascii="Times New Roman" w:hAnsi="Times New Roman" w:cs="Times New Roman"/>
          <w:color w:val="000000"/>
          <w:sz w:val="28"/>
          <w:szCs w:val="28"/>
        </w:rPr>
        <w:t>92,2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что составляет </w:t>
      </w:r>
      <w:r w:rsidR="002D0E1D">
        <w:rPr>
          <w:rFonts w:ascii="Times New Roman" w:hAnsi="Times New Roman" w:cs="Times New Roman"/>
          <w:color w:val="0D0D0D"/>
          <w:sz w:val="28"/>
          <w:szCs w:val="28"/>
        </w:rPr>
        <w:t>100,0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в общей сумме безвозмездных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поступлений.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Субвенция бюджетам бюджетной системы РФ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исполнена в объеме 100% и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составила </w:t>
      </w:r>
      <w:r w:rsidR="002D0E1D">
        <w:rPr>
          <w:rFonts w:ascii="Times New Roman" w:hAnsi="Times New Roman" w:cs="Times New Roman"/>
          <w:color w:val="000000"/>
          <w:sz w:val="28"/>
          <w:szCs w:val="28"/>
        </w:rPr>
        <w:t>105,4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рублей.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Субвенция на осуществление первичного воинского учета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на территориях, где отсутствуют военные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комиссариаты</w:t>
      </w:r>
      <w:proofErr w:type="gramEnd"/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исполнена в объеме 100%.</w:t>
      </w:r>
    </w:p>
    <w:p w:rsidR="00FD53EE" w:rsidRDefault="002D0E1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Субсидии </w:t>
      </w:r>
      <w:r w:rsidR="00FD53EE"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исполнены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4923,0</w:t>
      </w:r>
      <w:r w:rsidR="00BC5F28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</w:t>
      </w:r>
      <w:r w:rsidR="00CE6DD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имеют целевое назначение, исполнены в объеме 100% и переданы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в поселение на осуществление дорожной деятельности в отношении автомобильных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дорог общего пользования местного значения в границах населенных пунктов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поселений.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В структуре доходов сумма безвозмездных поступлений составила </w:t>
      </w:r>
      <w:r w:rsidR="002D0E1D">
        <w:rPr>
          <w:rFonts w:ascii="Times New Roman" w:hAnsi="Times New Roman" w:cs="Times New Roman"/>
          <w:color w:val="0D0D0D"/>
          <w:sz w:val="28"/>
          <w:szCs w:val="28"/>
        </w:rPr>
        <w:t>61,6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%, </w:t>
      </w:r>
      <w:proofErr w:type="gramStart"/>
      <w:r w:rsidRPr="00FD53EE">
        <w:rPr>
          <w:rFonts w:ascii="Times New Roman" w:hAnsi="Times New Roman" w:cs="Times New Roman"/>
          <w:color w:val="0D0D0D"/>
          <w:sz w:val="28"/>
          <w:szCs w:val="28"/>
        </w:rPr>
        <w:t>в</w:t>
      </w:r>
      <w:proofErr w:type="gramEnd"/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структуре безвозмездных поступлений наибольший удельный вес </w:t>
      </w:r>
      <w:r w:rsidR="002D0E1D">
        <w:rPr>
          <w:rFonts w:ascii="Times New Roman" w:hAnsi="Times New Roman" w:cs="Times New Roman"/>
          <w:color w:val="0D0D0D"/>
          <w:sz w:val="28"/>
          <w:szCs w:val="28"/>
        </w:rPr>
        <w:t>96,1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 занимает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CE6DD6">
        <w:rPr>
          <w:rFonts w:ascii="Times New Roman" w:hAnsi="Times New Roman" w:cs="Times New Roman"/>
          <w:color w:val="0D0D0D"/>
          <w:sz w:val="28"/>
          <w:szCs w:val="28"/>
        </w:rPr>
        <w:t xml:space="preserve">субсидии </w:t>
      </w:r>
      <w:r w:rsidR="002D0E1D">
        <w:rPr>
          <w:rFonts w:ascii="Times New Roman" w:hAnsi="Times New Roman" w:cs="Times New Roman"/>
          <w:color w:val="0D0D0D"/>
          <w:sz w:val="28"/>
          <w:szCs w:val="28"/>
        </w:rPr>
        <w:t>4923,0</w:t>
      </w:r>
      <w:r w:rsidR="003311DB">
        <w:rPr>
          <w:rFonts w:ascii="Times New Roman" w:hAnsi="Times New Roman" w:cs="Times New Roman"/>
          <w:color w:val="0D0D0D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В целом по итогам 20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D0E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года бюджет </w:t>
      </w:r>
      <w:proofErr w:type="spellStart"/>
      <w:r w:rsidR="00CE6DD6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по доходам </w:t>
      </w:r>
      <w:proofErr w:type="gramStart"/>
      <w:r w:rsidRPr="00FD53EE">
        <w:rPr>
          <w:rFonts w:ascii="Times New Roman" w:hAnsi="Times New Roman" w:cs="Times New Roman"/>
          <w:color w:val="000000"/>
          <w:sz w:val="28"/>
          <w:szCs w:val="28"/>
        </w:rPr>
        <w:t>исполнен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2D0E1D">
        <w:rPr>
          <w:rFonts w:ascii="Times New Roman" w:hAnsi="Times New Roman" w:cs="Times New Roman"/>
          <w:color w:val="000000"/>
          <w:sz w:val="28"/>
          <w:szCs w:val="28"/>
        </w:rPr>
        <w:t>8316,2</w:t>
      </w:r>
      <w:r w:rsidR="003311D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, что составляет </w:t>
      </w:r>
      <w:r w:rsidR="00F37ED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2D0E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7E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0E1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от суммы утвержденных бюджетных назначений.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Исполнение расходной части бюджета за 20</w:t>
      </w:r>
      <w:r w:rsidR="001034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D0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бюджета </w:t>
      </w:r>
      <w:proofErr w:type="spellStart"/>
      <w:r w:rsidR="0040431C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за 20</w:t>
      </w:r>
      <w:r w:rsidR="001034D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E2D1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год по</w:t>
      </w:r>
      <w:r w:rsidR="004F09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уточненным бюджетным назначениям составили </w:t>
      </w:r>
      <w:r w:rsidR="006E2D13">
        <w:rPr>
          <w:rFonts w:ascii="Times New Roman" w:hAnsi="Times New Roman" w:cs="Times New Roman"/>
          <w:color w:val="000000"/>
          <w:sz w:val="28"/>
          <w:szCs w:val="28"/>
        </w:rPr>
        <w:t>8307,4</w:t>
      </w:r>
      <w:r w:rsidR="00607B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F87F9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, исполнены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сумме </w:t>
      </w:r>
      <w:r w:rsidR="006E2D13">
        <w:rPr>
          <w:rFonts w:ascii="Times New Roman" w:hAnsi="Times New Roman" w:cs="Times New Roman"/>
          <w:color w:val="000000"/>
          <w:sz w:val="28"/>
          <w:szCs w:val="28"/>
        </w:rPr>
        <w:t>8009,8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F9E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руб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6E2D13">
        <w:rPr>
          <w:rFonts w:ascii="Times New Roman" w:hAnsi="Times New Roman" w:cs="Times New Roman"/>
          <w:color w:val="000000"/>
          <w:sz w:val="28"/>
          <w:szCs w:val="28"/>
        </w:rPr>
        <w:t>96,4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 Первоначальные бюджетные назначении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увеличились на </w:t>
      </w:r>
      <w:r w:rsidR="006E2D13">
        <w:rPr>
          <w:rFonts w:ascii="Times New Roman" w:hAnsi="Times New Roman" w:cs="Times New Roman"/>
          <w:color w:val="0D0D0D"/>
          <w:sz w:val="28"/>
          <w:szCs w:val="28"/>
        </w:rPr>
        <w:t>253,5</w:t>
      </w:r>
      <w:r w:rsidR="00F87F9E">
        <w:rPr>
          <w:rFonts w:ascii="Times New Roman" w:hAnsi="Times New Roman" w:cs="Times New Roman"/>
          <w:color w:val="0D0D0D"/>
          <w:sz w:val="28"/>
          <w:szCs w:val="28"/>
        </w:rPr>
        <w:t>тыс.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 xml:space="preserve"> рублей или на </w:t>
      </w:r>
      <w:r w:rsidR="006E2D13">
        <w:rPr>
          <w:rFonts w:ascii="Times New Roman" w:hAnsi="Times New Roman" w:cs="Times New Roman"/>
          <w:color w:val="0D0D0D"/>
          <w:sz w:val="28"/>
          <w:szCs w:val="28"/>
        </w:rPr>
        <w:t>3,1</w:t>
      </w:r>
      <w:r w:rsidRPr="00FD53EE">
        <w:rPr>
          <w:rFonts w:ascii="Times New Roman" w:hAnsi="Times New Roman" w:cs="Times New Roman"/>
          <w:color w:val="0D0D0D"/>
          <w:sz w:val="28"/>
          <w:szCs w:val="28"/>
        </w:rPr>
        <w:t>%.</w:t>
      </w:r>
    </w:p>
    <w:p w:rsidR="00C02579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FD53EE">
        <w:rPr>
          <w:rFonts w:ascii="Times New Roman" w:hAnsi="Times New Roman" w:cs="Times New Roman"/>
          <w:color w:val="0D0D0D"/>
          <w:sz w:val="28"/>
          <w:szCs w:val="28"/>
        </w:rPr>
        <w:t>Увеличение расходов связано с увеличением доходной части</w:t>
      </w:r>
      <w:r w:rsidR="00C02579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FD53EE" w:rsidRDefault="00BB48B7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8B7">
        <w:rPr>
          <w:rFonts w:ascii="Times New Roman" w:hAnsi="Times New Roman" w:cs="Times New Roman"/>
          <w:b/>
          <w:sz w:val="28"/>
          <w:szCs w:val="28"/>
        </w:rPr>
        <w:t>Анализ расходных обязательств за 20</w:t>
      </w:r>
      <w:r w:rsidR="0000584D">
        <w:rPr>
          <w:rFonts w:ascii="Times New Roman" w:hAnsi="Times New Roman" w:cs="Times New Roman"/>
          <w:b/>
          <w:sz w:val="28"/>
          <w:szCs w:val="28"/>
        </w:rPr>
        <w:t>2</w:t>
      </w:r>
      <w:r w:rsidR="006E2D13">
        <w:rPr>
          <w:rFonts w:ascii="Times New Roman" w:hAnsi="Times New Roman" w:cs="Times New Roman"/>
          <w:b/>
          <w:sz w:val="28"/>
          <w:szCs w:val="28"/>
        </w:rPr>
        <w:t>2</w:t>
      </w:r>
      <w:r w:rsidRPr="00BB48B7">
        <w:rPr>
          <w:rFonts w:ascii="Times New Roman" w:hAnsi="Times New Roman" w:cs="Times New Roman"/>
          <w:b/>
          <w:sz w:val="28"/>
          <w:szCs w:val="28"/>
        </w:rPr>
        <w:t xml:space="preserve"> год по разделам и подразделам бюджетной классификации</w:t>
      </w:r>
    </w:p>
    <w:p w:rsidR="00BF791C" w:rsidRPr="00BB48B7" w:rsidRDefault="00BF791C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FC36CB">
        <w:rPr>
          <w:rFonts w:ascii="Times New Roman" w:hAnsi="Times New Roman" w:cs="Times New Roman"/>
          <w:sz w:val="28"/>
          <w:szCs w:val="28"/>
        </w:rPr>
        <w:t>Табл.</w:t>
      </w:r>
      <w:r>
        <w:rPr>
          <w:rFonts w:ascii="Times New Roman" w:hAnsi="Times New Roman" w:cs="Times New Roman"/>
          <w:sz w:val="28"/>
          <w:szCs w:val="28"/>
        </w:rPr>
        <w:t>3,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6CB">
        <w:rPr>
          <w:rFonts w:ascii="Times New Roman" w:hAnsi="Times New Roman" w:cs="Times New Roman"/>
          <w:sz w:val="28"/>
          <w:szCs w:val="28"/>
        </w:rPr>
        <w:t>(тыс</w:t>
      </w:r>
      <w:proofErr w:type="gramStart"/>
      <w:r w:rsidRPr="00FC36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C36CB">
        <w:rPr>
          <w:rFonts w:ascii="Times New Roman" w:hAnsi="Times New Roman" w:cs="Times New Roman"/>
          <w:sz w:val="28"/>
          <w:szCs w:val="28"/>
        </w:rPr>
        <w:t>ублей)</w:t>
      </w:r>
    </w:p>
    <w:tbl>
      <w:tblPr>
        <w:tblStyle w:val="a7"/>
        <w:tblW w:w="9287" w:type="dxa"/>
        <w:tblLayout w:type="fixed"/>
        <w:tblLook w:val="04A0"/>
      </w:tblPr>
      <w:tblGrid>
        <w:gridCol w:w="959"/>
        <w:gridCol w:w="2268"/>
        <w:gridCol w:w="992"/>
        <w:gridCol w:w="992"/>
        <w:gridCol w:w="993"/>
        <w:gridCol w:w="1134"/>
        <w:gridCol w:w="850"/>
        <w:gridCol w:w="1099"/>
      </w:tblGrid>
      <w:tr w:rsidR="007E22A7" w:rsidTr="00E73793">
        <w:tc>
          <w:tcPr>
            <w:tcW w:w="959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Разделы</w:t>
            </w:r>
          </w:p>
        </w:tc>
        <w:tc>
          <w:tcPr>
            <w:tcW w:w="2268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Первоначальный план</w:t>
            </w:r>
          </w:p>
        </w:tc>
        <w:tc>
          <w:tcPr>
            <w:tcW w:w="992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Уточненные бюджетные назначения</w:t>
            </w:r>
          </w:p>
        </w:tc>
        <w:tc>
          <w:tcPr>
            <w:tcW w:w="993" w:type="dxa"/>
          </w:tcPr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7AD5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</w:tcPr>
          <w:p w:rsidR="007E22A7" w:rsidRDefault="007E22A7" w:rsidP="0061739C">
            <w:pPr>
              <w:pStyle w:val="Defaul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Отклонение уточненных бюджетных назначений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первоначально утвержденных </w:t>
            </w:r>
          </w:p>
        </w:tc>
        <w:tc>
          <w:tcPr>
            <w:tcW w:w="850" w:type="dxa"/>
          </w:tcPr>
          <w:p w:rsidR="007E22A7" w:rsidRDefault="007E22A7" w:rsidP="006173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испол-нения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к </w:t>
            </w:r>
            <w:proofErr w:type="spellStart"/>
            <w:r>
              <w:rPr>
                <w:sz w:val="20"/>
                <w:szCs w:val="20"/>
              </w:rPr>
              <w:t>уточнен-ным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бюд-жетным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назна-чениям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7E22A7" w:rsidRPr="00867AD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7E22A7" w:rsidRDefault="007E22A7" w:rsidP="006E2D1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исполнения 202</w:t>
            </w:r>
            <w:r w:rsidR="006E2D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 </w:t>
            </w:r>
          </w:p>
        </w:tc>
      </w:tr>
      <w:tr w:rsidR="007E22A7" w:rsidTr="00E73793">
        <w:tc>
          <w:tcPr>
            <w:tcW w:w="959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7E22A7" w:rsidRPr="00FC36CB" w:rsidRDefault="00644A18" w:rsidP="0061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99" w:type="dxa"/>
          </w:tcPr>
          <w:p w:rsidR="007E22A7" w:rsidRPr="00FC36CB" w:rsidRDefault="00644A18" w:rsidP="00644A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Расходы</w:t>
            </w:r>
          </w:p>
        </w:tc>
        <w:tc>
          <w:tcPr>
            <w:tcW w:w="992" w:type="dxa"/>
          </w:tcPr>
          <w:p w:rsidR="007E22A7" w:rsidRPr="000774A3" w:rsidRDefault="00BF79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8053,9</w:t>
            </w:r>
          </w:p>
        </w:tc>
        <w:tc>
          <w:tcPr>
            <w:tcW w:w="992" w:type="dxa"/>
          </w:tcPr>
          <w:p w:rsidR="007E22A7" w:rsidRPr="000774A3" w:rsidRDefault="00BF79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8307,4</w:t>
            </w:r>
          </w:p>
        </w:tc>
        <w:tc>
          <w:tcPr>
            <w:tcW w:w="993" w:type="dxa"/>
          </w:tcPr>
          <w:p w:rsidR="007E22A7" w:rsidRPr="000774A3" w:rsidRDefault="00BF79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8009,8</w:t>
            </w:r>
          </w:p>
        </w:tc>
        <w:tc>
          <w:tcPr>
            <w:tcW w:w="1134" w:type="dxa"/>
          </w:tcPr>
          <w:p w:rsidR="007E22A7" w:rsidRPr="000774A3" w:rsidRDefault="007A50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+253,5</w:t>
            </w:r>
          </w:p>
        </w:tc>
        <w:tc>
          <w:tcPr>
            <w:tcW w:w="850" w:type="dxa"/>
          </w:tcPr>
          <w:p w:rsidR="007E22A7" w:rsidRPr="000774A3" w:rsidRDefault="00BF791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1099" w:type="dxa"/>
          </w:tcPr>
          <w:p w:rsidR="007E22A7" w:rsidRPr="000774A3" w:rsidRDefault="0029528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1937,1</w:t>
            </w:r>
          </w:p>
        </w:tc>
        <w:tc>
          <w:tcPr>
            <w:tcW w:w="992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2121,2</w:t>
            </w:r>
          </w:p>
        </w:tc>
        <w:tc>
          <w:tcPr>
            <w:tcW w:w="993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2068,6</w:t>
            </w:r>
          </w:p>
        </w:tc>
        <w:tc>
          <w:tcPr>
            <w:tcW w:w="1134" w:type="dxa"/>
          </w:tcPr>
          <w:p w:rsidR="007E22A7" w:rsidRPr="00CD69C2" w:rsidRDefault="007A50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+184,1</w:t>
            </w:r>
          </w:p>
        </w:tc>
        <w:tc>
          <w:tcPr>
            <w:tcW w:w="850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099" w:type="dxa"/>
          </w:tcPr>
          <w:p w:rsidR="007E22A7" w:rsidRPr="00134D54" w:rsidRDefault="006331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25,8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Функционирование высшего </w:t>
            </w:r>
            <w:r>
              <w:rPr>
                <w:rFonts w:ascii="Times New Roman" w:hAnsi="Times New Roman" w:cs="Times New Roman"/>
              </w:rPr>
              <w:lastRenderedPageBreak/>
              <w:t>должностного лица</w:t>
            </w:r>
          </w:p>
        </w:tc>
        <w:tc>
          <w:tcPr>
            <w:tcW w:w="992" w:type="dxa"/>
          </w:tcPr>
          <w:p w:rsidR="007E22A7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911,4</w:t>
            </w:r>
          </w:p>
        </w:tc>
        <w:tc>
          <w:tcPr>
            <w:tcW w:w="992" w:type="dxa"/>
          </w:tcPr>
          <w:p w:rsidR="007E22A7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993" w:type="dxa"/>
          </w:tcPr>
          <w:p w:rsidR="007E22A7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1134" w:type="dxa"/>
          </w:tcPr>
          <w:p w:rsidR="007E22A7" w:rsidRPr="00CD69C2" w:rsidRDefault="007A50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+75,2</w:t>
            </w:r>
          </w:p>
        </w:tc>
        <w:tc>
          <w:tcPr>
            <w:tcW w:w="850" w:type="dxa"/>
          </w:tcPr>
          <w:p w:rsidR="007E22A7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644861" w:rsidRDefault="006331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E73793" w:rsidTr="00E73793">
        <w:tc>
          <w:tcPr>
            <w:tcW w:w="959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2268" w:type="dxa"/>
          </w:tcPr>
          <w:p w:rsidR="00E73793" w:rsidRDefault="00E73793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высших исполнительных органов</w:t>
            </w:r>
          </w:p>
        </w:tc>
        <w:tc>
          <w:tcPr>
            <w:tcW w:w="992" w:type="dxa"/>
          </w:tcPr>
          <w:p w:rsidR="00E73793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1022,7</w:t>
            </w:r>
          </w:p>
        </w:tc>
        <w:tc>
          <w:tcPr>
            <w:tcW w:w="992" w:type="dxa"/>
          </w:tcPr>
          <w:p w:rsidR="00E73793" w:rsidRDefault="005633F8" w:rsidP="005633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1134,6</w:t>
            </w:r>
          </w:p>
        </w:tc>
        <w:tc>
          <w:tcPr>
            <w:tcW w:w="993" w:type="dxa"/>
          </w:tcPr>
          <w:p w:rsidR="00E73793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1082,0</w:t>
            </w:r>
          </w:p>
        </w:tc>
        <w:tc>
          <w:tcPr>
            <w:tcW w:w="1134" w:type="dxa"/>
          </w:tcPr>
          <w:p w:rsidR="00E73793" w:rsidRPr="00CD69C2" w:rsidRDefault="007A50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+111,9</w:t>
            </w:r>
          </w:p>
        </w:tc>
        <w:tc>
          <w:tcPr>
            <w:tcW w:w="850" w:type="dxa"/>
          </w:tcPr>
          <w:p w:rsidR="00E73793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99" w:type="dxa"/>
          </w:tcPr>
          <w:p w:rsidR="00E73793" w:rsidRPr="00134D54" w:rsidRDefault="006331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52,3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2268" w:type="dxa"/>
          </w:tcPr>
          <w:p w:rsidR="007E22A7" w:rsidRPr="00FC36CB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992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992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</w:tcPr>
          <w:p w:rsidR="007E22A7" w:rsidRPr="00CD69C2" w:rsidRDefault="007A501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+9,4</w:t>
            </w:r>
          </w:p>
        </w:tc>
        <w:tc>
          <w:tcPr>
            <w:tcW w:w="850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99" w:type="dxa"/>
          </w:tcPr>
          <w:p w:rsidR="007E22A7" w:rsidRPr="00134D54" w:rsidRDefault="00633160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</w:t>
            </w:r>
          </w:p>
        </w:tc>
      </w:tr>
      <w:tr w:rsidR="007E22A7" w:rsidTr="00E73793">
        <w:tc>
          <w:tcPr>
            <w:tcW w:w="959" w:type="dxa"/>
          </w:tcPr>
          <w:p w:rsid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2268" w:type="dxa"/>
          </w:tcPr>
          <w:p w:rsidR="007E22A7" w:rsidRPr="00B044B5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992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993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5695,6</w:t>
            </w:r>
          </w:p>
        </w:tc>
        <w:tc>
          <w:tcPr>
            <w:tcW w:w="1134" w:type="dxa"/>
          </w:tcPr>
          <w:p w:rsidR="007E22A7" w:rsidRPr="00CD69C2" w:rsidRDefault="0029528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E22A7" w:rsidRPr="00CD69C2" w:rsidRDefault="005633F8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99" w:type="dxa"/>
          </w:tcPr>
          <w:p w:rsidR="007E22A7" w:rsidRPr="00134D54" w:rsidRDefault="00633160" w:rsidP="00172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71,1</w:t>
            </w:r>
          </w:p>
        </w:tc>
      </w:tr>
      <w:tr w:rsidR="007E22A7" w:rsidTr="00E73793">
        <w:tc>
          <w:tcPr>
            <w:tcW w:w="959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2268" w:type="dxa"/>
          </w:tcPr>
          <w:p w:rsidR="007E22A7" w:rsidRPr="007E22A7" w:rsidRDefault="007E22A7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22A7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E22A7" w:rsidRPr="00CD69C2" w:rsidRDefault="00B1101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92" w:type="dxa"/>
          </w:tcPr>
          <w:p w:rsidR="007E22A7" w:rsidRPr="00CD69C2" w:rsidRDefault="00B1101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993" w:type="dxa"/>
          </w:tcPr>
          <w:p w:rsidR="007E22A7" w:rsidRPr="00CD69C2" w:rsidRDefault="00B1101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134" w:type="dxa"/>
          </w:tcPr>
          <w:p w:rsidR="007E22A7" w:rsidRPr="00CD69C2" w:rsidRDefault="0029528C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+60,0</w:t>
            </w:r>
          </w:p>
        </w:tc>
        <w:tc>
          <w:tcPr>
            <w:tcW w:w="850" w:type="dxa"/>
          </w:tcPr>
          <w:p w:rsidR="007E22A7" w:rsidRPr="00CD69C2" w:rsidRDefault="00B1101D" w:rsidP="006173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99" w:type="dxa"/>
          </w:tcPr>
          <w:p w:rsidR="007E22A7" w:rsidRPr="00134D54" w:rsidRDefault="00633160" w:rsidP="00134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</w:t>
            </w:r>
          </w:p>
        </w:tc>
      </w:tr>
    </w:tbl>
    <w:p w:rsidR="0061739C" w:rsidRPr="00BB48B7" w:rsidRDefault="00BB48B7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48B7">
        <w:rPr>
          <w:rFonts w:ascii="Times New Roman" w:hAnsi="Times New Roman" w:cs="Times New Roman"/>
          <w:sz w:val="28"/>
          <w:szCs w:val="28"/>
        </w:rPr>
        <w:t>Анализ расходных обязательств по разделам бюджетной классификации показал:</w:t>
      </w:r>
    </w:p>
    <w:p w:rsidR="00FD53EE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FC420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Раздел </w:t>
      </w:r>
      <w:r w:rsidRPr="00BB48B7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01 «Общегосударственные вопросы»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color w:val="000000"/>
          <w:sz w:val="28"/>
          <w:szCs w:val="28"/>
        </w:rPr>
        <w:t>Расходы на раздел «Общегосударственные вопросы» исполнены в сумме</w:t>
      </w:r>
    </w:p>
    <w:p w:rsidR="00FD53EE" w:rsidRPr="00FD53EE" w:rsidRDefault="00FC420D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2068,6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 или </w:t>
      </w:r>
      <w:r>
        <w:rPr>
          <w:rFonts w:ascii="Times New Roman" w:hAnsi="Times New Roman" w:cs="Times New Roman"/>
          <w:color w:val="000000"/>
          <w:sz w:val="28"/>
          <w:szCs w:val="28"/>
        </w:rPr>
        <w:t>97,5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 от уточненных бюджетных назначений в сумме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2121,2</w:t>
      </w:r>
      <w:r w:rsidR="00214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48B7">
        <w:rPr>
          <w:rFonts w:ascii="Times New Roman" w:hAnsi="Times New Roman" w:cs="Times New Roman"/>
          <w:color w:val="000000"/>
          <w:sz w:val="28"/>
          <w:szCs w:val="28"/>
        </w:rPr>
        <w:t>тыс.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общей структуре расходов, раздел общегосударственные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расходы занимает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25,8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%. В результате анализа расходов в разрезе подразделов</w:t>
      </w:r>
      <w:r w:rsid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53EE" w:rsidRPr="00FD53EE">
        <w:rPr>
          <w:rFonts w:ascii="Times New Roman" w:hAnsi="Times New Roman" w:cs="Times New Roman"/>
          <w:color w:val="000000"/>
          <w:sz w:val="28"/>
          <w:szCs w:val="28"/>
        </w:rPr>
        <w:t>можно сказать следующее: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010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«Функционирование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высшего должностного лица 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субъект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РФ</w:t>
      </w:r>
      <w:r w:rsidR="009B0D2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муниципального образования</w:t>
      </w:r>
      <w:r w:rsidRPr="00FD53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».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данному разделу исполнение составило </w:t>
      </w:r>
      <w:r w:rsidR="00FC420D">
        <w:rPr>
          <w:rFonts w:ascii="Times New Roman" w:hAnsi="Times New Roman" w:cs="Times New Roman"/>
          <w:color w:val="000000"/>
          <w:sz w:val="28"/>
          <w:szCs w:val="28"/>
        </w:rPr>
        <w:t>986,6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9B0D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color w:val="000000"/>
          <w:sz w:val="28"/>
          <w:szCs w:val="28"/>
        </w:rPr>
        <w:t>убл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FC420D">
        <w:rPr>
          <w:rFonts w:ascii="Times New Roman" w:hAnsi="Times New Roman" w:cs="Times New Roman"/>
          <w:color w:val="000000"/>
          <w:sz w:val="28"/>
          <w:szCs w:val="28"/>
        </w:rPr>
        <w:t>100,0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 от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запланированных бюджетных назначений</w:t>
      </w:r>
      <w:r w:rsidR="00FC420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 в общей сумме</w:t>
      </w:r>
      <w:r w:rsidR="009B0D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расходных обязательств составляет </w:t>
      </w:r>
      <w:r w:rsidR="00FC420D">
        <w:rPr>
          <w:rFonts w:ascii="Times New Roman" w:hAnsi="Times New Roman" w:cs="Times New Roman"/>
          <w:color w:val="000000"/>
          <w:sz w:val="28"/>
          <w:szCs w:val="28"/>
        </w:rPr>
        <w:t>47,7</w:t>
      </w:r>
      <w:r w:rsidRPr="00FD53EE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>04</w:t>
      </w:r>
      <w:r w:rsidRPr="00FD53EE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9B0D2C">
        <w:rPr>
          <w:rFonts w:ascii="Times New Roman" w:hAnsi="Times New Roman" w:cs="Times New Roman"/>
          <w:i/>
          <w:iCs/>
          <w:sz w:val="28"/>
          <w:szCs w:val="28"/>
        </w:rPr>
        <w:t xml:space="preserve">Функционирование Правительства РФ, высших исполнительных органов государственной власти субъектов </w:t>
      </w:r>
      <w:r w:rsidR="006108C8">
        <w:rPr>
          <w:rFonts w:ascii="Times New Roman" w:hAnsi="Times New Roman" w:cs="Times New Roman"/>
          <w:i/>
          <w:iCs/>
          <w:sz w:val="28"/>
          <w:szCs w:val="28"/>
        </w:rPr>
        <w:t>РФ, местных администраций</w:t>
      </w:r>
      <w:r w:rsidRPr="00FD53EE">
        <w:rPr>
          <w:rFonts w:ascii="Times New Roman" w:hAnsi="Times New Roman" w:cs="Times New Roman"/>
          <w:sz w:val="28"/>
          <w:szCs w:val="28"/>
        </w:rPr>
        <w:t>». Исполнение по данному</w:t>
      </w:r>
      <w:r w:rsidR="006108C8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подразделу при плановых назначениях в сумме </w:t>
      </w:r>
      <w:r w:rsidR="00FC420D">
        <w:rPr>
          <w:rFonts w:ascii="Times New Roman" w:hAnsi="Times New Roman" w:cs="Times New Roman"/>
          <w:sz w:val="28"/>
          <w:szCs w:val="28"/>
        </w:rPr>
        <w:t>1134,6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тыс. рублей исполнение </w:t>
      </w:r>
      <w:r w:rsidRPr="00FD53E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FC420D">
        <w:rPr>
          <w:rFonts w:ascii="Times New Roman" w:hAnsi="Times New Roman" w:cs="Times New Roman"/>
          <w:sz w:val="28"/>
          <w:szCs w:val="28"/>
        </w:rPr>
        <w:t>1082,0</w:t>
      </w:r>
      <w:r w:rsidR="006108C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610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08C8">
        <w:rPr>
          <w:rFonts w:ascii="Times New Roman" w:hAnsi="Times New Roman" w:cs="Times New Roman"/>
          <w:sz w:val="28"/>
          <w:szCs w:val="28"/>
        </w:rPr>
        <w:t xml:space="preserve">ублей или </w:t>
      </w:r>
      <w:r w:rsidR="00FC420D">
        <w:rPr>
          <w:rFonts w:ascii="Times New Roman" w:hAnsi="Times New Roman" w:cs="Times New Roman"/>
          <w:sz w:val="28"/>
          <w:szCs w:val="28"/>
        </w:rPr>
        <w:t>95,3</w:t>
      </w:r>
      <w:r w:rsidR="006108C8">
        <w:rPr>
          <w:rFonts w:ascii="Times New Roman" w:hAnsi="Times New Roman" w:cs="Times New Roman"/>
          <w:sz w:val="28"/>
          <w:szCs w:val="28"/>
        </w:rPr>
        <w:t xml:space="preserve">% </w:t>
      </w:r>
      <w:r w:rsidRPr="00FD53EE">
        <w:rPr>
          <w:rFonts w:ascii="Times New Roman" w:hAnsi="Times New Roman" w:cs="Times New Roman"/>
          <w:sz w:val="28"/>
          <w:szCs w:val="28"/>
        </w:rPr>
        <w:t>.</w:t>
      </w:r>
    </w:p>
    <w:p w:rsidR="00BB48B7" w:rsidRPr="00BB48B7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B48B7">
        <w:rPr>
          <w:rFonts w:ascii="Times New Roman" w:hAnsi="Times New Roman" w:cs="Times New Roman"/>
          <w:i/>
          <w:iCs/>
          <w:sz w:val="28"/>
          <w:szCs w:val="28"/>
          <w:u w:val="single"/>
        </w:rPr>
        <w:t>Раздел 02 «Национальная оборона»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В разделе «Национальная оборона» предусматривается один подраздел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«мобилизационная и </w:t>
      </w:r>
      <w:proofErr w:type="spellStart"/>
      <w:r w:rsidRPr="00FD53EE">
        <w:rPr>
          <w:rFonts w:ascii="Times New Roman" w:hAnsi="Times New Roman" w:cs="Times New Roman"/>
          <w:sz w:val="28"/>
          <w:szCs w:val="28"/>
        </w:rPr>
        <w:t>вневоинская</w:t>
      </w:r>
      <w:proofErr w:type="spellEnd"/>
      <w:r w:rsidRPr="00FD53EE">
        <w:rPr>
          <w:rFonts w:ascii="Times New Roman" w:hAnsi="Times New Roman" w:cs="Times New Roman"/>
          <w:sz w:val="28"/>
          <w:szCs w:val="28"/>
        </w:rPr>
        <w:t xml:space="preserve"> подготовка», по данному подразделу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запланированы средства в размере </w:t>
      </w:r>
      <w:r w:rsidR="00FC420D">
        <w:rPr>
          <w:rFonts w:ascii="Times New Roman" w:hAnsi="Times New Roman" w:cs="Times New Roman"/>
          <w:sz w:val="28"/>
          <w:szCs w:val="28"/>
        </w:rPr>
        <w:t>105,4</w:t>
      </w:r>
      <w:r w:rsidR="000E546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D53EE">
        <w:rPr>
          <w:rFonts w:ascii="Times New Roman" w:hAnsi="Times New Roman" w:cs="Times New Roman"/>
          <w:sz w:val="28"/>
          <w:szCs w:val="28"/>
        </w:rPr>
        <w:t xml:space="preserve"> руб., исполнение составило 100%.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Финансирование подраздела осуществляется за счет субвенции на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первичного воинского учета на территориях, где отсутствуют военные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комиссариаты.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Анализ статей расходов показал, что сумма расходов на заработную плату и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 составила </w:t>
      </w:r>
      <w:r w:rsidR="008214D0">
        <w:rPr>
          <w:rFonts w:ascii="Times New Roman" w:hAnsi="Times New Roman" w:cs="Times New Roman"/>
          <w:sz w:val="28"/>
          <w:szCs w:val="28"/>
        </w:rPr>
        <w:t>100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FD53EE" w:rsidRPr="00FD53EE" w:rsidRDefault="00FD53EE" w:rsidP="00BB48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D53EE">
        <w:rPr>
          <w:rFonts w:ascii="Times New Roman" w:hAnsi="Times New Roman" w:cs="Times New Roman"/>
          <w:i/>
          <w:iCs/>
          <w:sz w:val="28"/>
          <w:szCs w:val="28"/>
        </w:rPr>
        <w:t>Раздел 04 «Национальная экономика».</w:t>
      </w:r>
    </w:p>
    <w:p w:rsidR="00FD53EE" w:rsidRP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 xml:space="preserve">Раздел «национальная экономика» предусматривает реализацию </w:t>
      </w:r>
      <w:r w:rsidR="00F74718">
        <w:rPr>
          <w:rFonts w:ascii="Times New Roman" w:hAnsi="Times New Roman" w:cs="Times New Roman"/>
          <w:sz w:val="28"/>
          <w:szCs w:val="28"/>
        </w:rPr>
        <w:t>одного</w:t>
      </w:r>
    </w:p>
    <w:p w:rsidR="00FD53EE" w:rsidRDefault="00FD53EE" w:rsidP="00FD53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подраздел</w:t>
      </w:r>
      <w:r w:rsidR="00F74718">
        <w:rPr>
          <w:rFonts w:ascii="Times New Roman" w:hAnsi="Times New Roman" w:cs="Times New Roman"/>
          <w:sz w:val="28"/>
          <w:szCs w:val="28"/>
        </w:rPr>
        <w:t>а</w:t>
      </w:r>
      <w:r w:rsidRPr="00FD53EE">
        <w:rPr>
          <w:rFonts w:ascii="Times New Roman" w:hAnsi="Times New Roman" w:cs="Times New Roman"/>
          <w:sz w:val="28"/>
          <w:szCs w:val="28"/>
        </w:rPr>
        <w:t>:</w:t>
      </w:r>
    </w:p>
    <w:p w:rsidR="00FD53EE" w:rsidRPr="00FD53EE" w:rsidRDefault="00FD53EE" w:rsidP="00F74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- подраздел 0409 «Дорожное хозяйство» предусматривает реализацию</w:t>
      </w:r>
    </w:p>
    <w:p w:rsidR="00FD53EE" w:rsidRPr="00FD53EE" w:rsidRDefault="00FD53EE" w:rsidP="00F7471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D53EE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3C7C87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на территории муниципального образования </w:t>
      </w:r>
      <w:r w:rsidR="00FC420D">
        <w:rPr>
          <w:rFonts w:ascii="Times New Roman" w:hAnsi="Times New Roman" w:cs="Times New Roman"/>
          <w:sz w:val="28"/>
          <w:szCs w:val="28"/>
        </w:rPr>
        <w:t xml:space="preserve">до </w:t>
      </w:r>
      <w:r w:rsidR="003C7C87">
        <w:rPr>
          <w:rFonts w:ascii="Times New Roman" w:hAnsi="Times New Roman" w:cs="Times New Roman"/>
          <w:sz w:val="28"/>
          <w:szCs w:val="28"/>
        </w:rPr>
        <w:t>202</w:t>
      </w:r>
      <w:r w:rsidR="00FC420D">
        <w:rPr>
          <w:rFonts w:ascii="Times New Roman" w:hAnsi="Times New Roman" w:cs="Times New Roman"/>
          <w:sz w:val="28"/>
          <w:szCs w:val="28"/>
        </w:rPr>
        <w:t>4</w:t>
      </w:r>
      <w:r w:rsidR="003C7C87">
        <w:rPr>
          <w:rFonts w:ascii="Times New Roman" w:hAnsi="Times New Roman" w:cs="Times New Roman"/>
          <w:sz w:val="28"/>
          <w:szCs w:val="28"/>
        </w:rPr>
        <w:t>г.</w:t>
      </w:r>
      <w:r w:rsidR="00F74718" w:rsidRPr="00F74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C4B63"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>в 20</w:t>
      </w:r>
      <w:r w:rsidR="006C4B63">
        <w:rPr>
          <w:rFonts w:ascii="Times New Roman" w:hAnsi="Times New Roman" w:cs="Times New Roman"/>
          <w:sz w:val="28"/>
          <w:szCs w:val="28"/>
        </w:rPr>
        <w:t>2</w:t>
      </w:r>
      <w:r w:rsidR="00FC420D">
        <w:rPr>
          <w:rFonts w:ascii="Times New Roman" w:hAnsi="Times New Roman" w:cs="Times New Roman"/>
          <w:sz w:val="28"/>
          <w:szCs w:val="28"/>
        </w:rPr>
        <w:t>2</w:t>
      </w:r>
      <w:r w:rsidRPr="00FD53EE">
        <w:rPr>
          <w:rFonts w:ascii="Times New Roman" w:hAnsi="Times New Roman" w:cs="Times New Roman"/>
          <w:sz w:val="28"/>
          <w:szCs w:val="28"/>
        </w:rPr>
        <w:t xml:space="preserve"> году на данное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3EE"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="00FC420D">
        <w:rPr>
          <w:rFonts w:ascii="Times New Roman" w:hAnsi="Times New Roman" w:cs="Times New Roman"/>
          <w:sz w:val="28"/>
          <w:szCs w:val="28"/>
        </w:rPr>
        <w:t>5933,1</w:t>
      </w:r>
      <w:r w:rsidRPr="00FD53EE">
        <w:rPr>
          <w:rFonts w:ascii="Times New Roman" w:hAnsi="Times New Roman" w:cs="Times New Roman"/>
          <w:sz w:val="28"/>
          <w:szCs w:val="28"/>
        </w:rPr>
        <w:t xml:space="preserve"> </w:t>
      </w:r>
      <w:r w:rsidR="006C4B6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C4B63">
        <w:rPr>
          <w:rFonts w:ascii="Times New Roman" w:hAnsi="Times New Roman" w:cs="Times New Roman"/>
          <w:sz w:val="28"/>
          <w:szCs w:val="28"/>
        </w:rPr>
        <w:t>.</w:t>
      </w:r>
      <w:r w:rsidRPr="00FD53E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53EE">
        <w:rPr>
          <w:rFonts w:ascii="Times New Roman" w:hAnsi="Times New Roman" w:cs="Times New Roman"/>
          <w:sz w:val="28"/>
          <w:szCs w:val="28"/>
        </w:rPr>
        <w:t>ублей, исполнение составило</w:t>
      </w:r>
      <w:r w:rsidR="00FC420D">
        <w:rPr>
          <w:rFonts w:ascii="Times New Roman" w:hAnsi="Times New Roman" w:cs="Times New Roman"/>
          <w:sz w:val="28"/>
          <w:szCs w:val="28"/>
        </w:rPr>
        <w:t xml:space="preserve"> 5695,6 тыс.рублей или 96,0</w:t>
      </w:r>
      <w:r w:rsidRPr="00FD53EE">
        <w:rPr>
          <w:rFonts w:ascii="Times New Roman" w:hAnsi="Times New Roman" w:cs="Times New Roman"/>
          <w:sz w:val="28"/>
          <w:szCs w:val="28"/>
        </w:rPr>
        <w:t>%.</w:t>
      </w:r>
    </w:p>
    <w:p w:rsidR="00BB48B7" w:rsidRPr="00B46460" w:rsidRDefault="00BB48B7" w:rsidP="00B46460">
      <w:pPr>
        <w:pStyle w:val="Default"/>
        <w:jc w:val="center"/>
        <w:rPr>
          <w:sz w:val="28"/>
          <w:szCs w:val="28"/>
          <w:u w:val="single"/>
        </w:rPr>
      </w:pPr>
      <w:r w:rsidRPr="00B46460">
        <w:rPr>
          <w:i/>
          <w:iCs/>
          <w:sz w:val="28"/>
          <w:szCs w:val="28"/>
          <w:u w:val="single"/>
        </w:rPr>
        <w:t>Раздел 05 «Жилищно-коммунальное хозяйство»</w:t>
      </w:r>
    </w:p>
    <w:p w:rsidR="00BB48B7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lastRenderedPageBreak/>
        <w:t xml:space="preserve">В данный раздел входит два подраздела: </w:t>
      </w:r>
    </w:p>
    <w:p w:rsidR="002E4E88" w:rsidRPr="00B46460" w:rsidRDefault="002E4E88" w:rsidP="00BB48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по подразделу 0502 «Коммунальное хозяйство» исполнение составило 37,4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или 100,0%.</w:t>
      </w:r>
    </w:p>
    <w:p w:rsidR="00BB48B7" w:rsidRPr="00B46460" w:rsidRDefault="00BB48B7" w:rsidP="00BB48B7">
      <w:pPr>
        <w:pStyle w:val="Default"/>
        <w:rPr>
          <w:sz w:val="28"/>
          <w:szCs w:val="28"/>
        </w:rPr>
      </w:pPr>
      <w:r w:rsidRPr="00B46460">
        <w:rPr>
          <w:sz w:val="28"/>
          <w:szCs w:val="28"/>
        </w:rPr>
        <w:t>- по подразделу 050</w:t>
      </w:r>
      <w:r w:rsidR="00A52260">
        <w:rPr>
          <w:sz w:val="28"/>
          <w:szCs w:val="28"/>
        </w:rPr>
        <w:t>3</w:t>
      </w:r>
      <w:r w:rsidRPr="00B46460">
        <w:rPr>
          <w:sz w:val="28"/>
          <w:szCs w:val="28"/>
        </w:rPr>
        <w:t xml:space="preserve"> «</w:t>
      </w:r>
      <w:r w:rsidR="00A52260">
        <w:rPr>
          <w:sz w:val="28"/>
          <w:szCs w:val="28"/>
        </w:rPr>
        <w:t>Благоустройство</w:t>
      </w:r>
      <w:r w:rsidRPr="00B46460">
        <w:rPr>
          <w:sz w:val="28"/>
          <w:szCs w:val="28"/>
        </w:rPr>
        <w:t xml:space="preserve">» исполнение составило </w:t>
      </w:r>
      <w:r w:rsidR="002E4E88">
        <w:rPr>
          <w:sz w:val="28"/>
          <w:szCs w:val="28"/>
        </w:rPr>
        <w:t>102,8</w:t>
      </w:r>
      <w:r w:rsidR="00EA7588">
        <w:rPr>
          <w:sz w:val="28"/>
          <w:szCs w:val="28"/>
        </w:rPr>
        <w:t xml:space="preserve"> тыс.</w:t>
      </w:r>
      <w:r w:rsidRPr="00B46460">
        <w:rPr>
          <w:sz w:val="28"/>
          <w:szCs w:val="28"/>
        </w:rPr>
        <w:t xml:space="preserve"> рублей или </w:t>
      </w:r>
      <w:r w:rsidR="002E4E88">
        <w:rPr>
          <w:sz w:val="28"/>
          <w:szCs w:val="28"/>
        </w:rPr>
        <w:t>93,2</w:t>
      </w:r>
      <w:r w:rsidRPr="00B46460">
        <w:rPr>
          <w:sz w:val="28"/>
          <w:szCs w:val="28"/>
        </w:rPr>
        <w:t>% от уточненных бюджетных назначений</w:t>
      </w:r>
      <w:r w:rsidR="002E4E88">
        <w:rPr>
          <w:sz w:val="28"/>
          <w:szCs w:val="28"/>
        </w:rPr>
        <w:t>.</w:t>
      </w:r>
      <w:r w:rsidRPr="00B46460">
        <w:rPr>
          <w:sz w:val="28"/>
          <w:szCs w:val="28"/>
        </w:rPr>
        <w:t xml:space="preserve"> </w:t>
      </w:r>
    </w:p>
    <w:p w:rsidR="002F7917" w:rsidRPr="002F7917" w:rsidRDefault="002F7917" w:rsidP="00024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Исполнение муниципальных программ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бюджете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</w:t>
      </w:r>
      <w:r w:rsidR="00024FDE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2A55EB">
        <w:rPr>
          <w:rFonts w:ascii="Times New Roman" w:hAnsi="Times New Roman" w:cs="Times New Roman"/>
          <w:sz w:val="28"/>
          <w:szCs w:val="28"/>
        </w:rPr>
        <w:t>три</w:t>
      </w:r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муниципальные программы</w:t>
      </w:r>
      <w:r w:rsidR="00FE7A4A">
        <w:rPr>
          <w:rFonts w:ascii="Times New Roman" w:hAnsi="Times New Roman" w:cs="Times New Roman"/>
          <w:sz w:val="28"/>
          <w:szCs w:val="28"/>
        </w:rPr>
        <w:t>. В 202</w:t>
      </w:r>
      <w:r w:rsidR="002A55EB">
        <w:rPr>
          <w:rFonts w:ascii="Times New Roman" w:hAnsi="Times New Roman" w:cs="Times New Roman"/>
          <w:sz w:val="28"/>
          <w:szCs w:val="28"/>
        </w:rPr>
        <w:t>2</w:t>
      </w:r>
      <w:r w:rsidR="00FE7A4A">
        <w:rPr>
          <w:rFonts w:ascii="Times New Roman" w:hAnsi="Times New Roman" w:cs="Times New Roman"/>
          <w:sz w:val="28"/>
          <w:szCs w:val="28"/>
        </w:rPr>
        <w:t xml:space="preserve">г. запланировано  </w:t>
      </w:r>
      <w:r w:rsidR="002A55EB">
        <w:rPr>
          <w:rFonts w:ascii="Times New Roman" w:hAnsi="Times New Roman" w:cs="Times New Roman"/>
          <w:sz w:val="28"/>
          <w:szCs w:val="28"/>
        </w:rPr>
        <w:t>6080,8</w:t>
      </w:r>
      <w:r w:rsidR="00082182">
        <w:rPr>
          <w:rFonts w:ascii="Times New Roman" w:hAnsi="Times New Roman" w:cs="Times New Roman"/>
          <w:sz w:val="28"/>
          <w:szCs w:val="28"/>
        </w:rPr>
        <w:t xml:space="preserve"> </w:t>
      </w:r>
      <w:r w:rsidR="00FE7A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7A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7A4A">
        <w:rPr>
          <w:rFonts w:ascii="Times New Roman" w:hAnsi="Times New Roman" w:cs="Times New Roman"/>
          <w:sz w:val="28"/>
          <w:szCs w:val="28"/>
        </w:rPr>
        <w:t xml:space="preserve">ублей, исполнение составило </w:t>
      </w:r>
      <w:r w:rsidR="002A55EB">
        <w:rPr>
          <w:rFonts w:ascii="Times New Roman" w:hAnsi="Times New Roman" w:cs="Times New Roman"/>
          <w:sz w:val="28"/>
          <w:szCs w:val="28"/>
        </w:rPr>
        <w:t>5835,8</w:t>
      </w:r>
      <w:r w:rsidR="00FE7A4A">
        <w:rPr>
          <w:rFonts w:ascii="Times New Roman" w:hAnsi="Times New Roman" w:cs="Times New Roman"/>
          <w:sz w:val="28"/>
          <w:szCs w:val="28"/>
        </w:rPr>
        <w:t xml:space="preserve"> тыс.рублей или </w:t>
      </w:r>
      <w:r w:rsidR="00082182">
        <w:rPr>
          <w:rFonts w:ascii="Times New Roman" w:hAnsi="Times New Roman" w:cs="Times New Roman"/>
          <w:sz w:val="28"/>
          <w:szCs w:val="28"/>
        </w:rPr>
        <w:t>9</w:t>
      </w:r>
      <w:r w:rsidR="002A55EB">
        <w:rPr>
          <w:rFonts w:ascii="Times New Roman" w:hAnsi="Times New Roman" w:cs="Times New Roman"/>
          <w:sz w:val="28"/>
          <w:szCs w:val="28"/>
        </w:rPr>
        <w:t>6,0</w:t>
      </w:r>
      <w:r w:rsidR="00FE7A4A">
        <w:rPr>
          <w:rFonts w:ascii="Times New Roman" w:hAnsi="Times New Roman" w:cs="Times New Roman"/>
          <w:sz w:val="28"/>
          <w:szCs w:val="28"/>
        </w:rPr>
        <w:t>%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 w:rsidR="00BC0290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proofErr w:type="spellStart"/>
      <w:r w:rsidR="00BC029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C0290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 w:rsidR="00082182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2</w:t>
      </w:r>
      <w:r w:rsidR="00BC0290">
        <w:rPr>
          <w:rFonts w:ascii="Times New Roman" w:hAnsi="Times New Roman" w:cs="Times New Roman"/>
          <w:sz w:val="28"/>
          <w:szCs w:val="28"/>
        </w:rPr>
        <w:t>-202</w:t>
      </w:r>
      <w:r w:rsidR="002A55EB">
        <w:rPr>
          <w:rFonts w:ascii="Times New Roman" w:hAnsi="Times New Roman" w:cs="Times New Roman"/>
          <w:sz w:val="28"/>
          <w:szCs w:val="28"/>
        </w:rPr>
        <w:t>4</w:t>
      </w:r>
      <w:r w:rsidR="00BC0290"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BC0290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исполнение составило </w:t>
      </w:r>
      <w:r w:rsidR="002A55EB">
        <w:rPr>
          <w:rFonts w:ascii="Times New Roman" w:hAnsi="Times New Roman" w:cs="Times New Roman"/>
          <w:sz w:val="28"/>
          <w:szCs w:val="28"/>
        </w:rPr>
        <w:t>96,0</w:t>
      </w:r>
      <w:r w:rsidR="00B82EE3">
        <w:rPr>
          <w:rFonts w:ascii="Times New Roman" w:hAnsi="Times New Roman" w:cs="Times New Roman"/>
          <w:sz w:val="28"/>
          <w:szCs w:val="28"/>
        </w:rPr>
        <w:t xml:space="preserve">% или </w:t>
      </w:r>
      <w:r w:rsidR="002A55EB">
        <w:rPr>
          <w:rFonts w:ascii="Times New Roman" w:hAnsi="Times New Roman" w:cs="Times New Roman"/>
          <w:sz w:val="28"/>
          <w:szCs w:val="28"/>
        </w:rPr>
        <w:t>5695,6</w:t>
      </w:r>
      <w:r w:rsidR="00B82E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82E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EE3">
        <w:rPr>
          <w:rFonts w:ascii="Times New Roman" w:hAnsi="Times New Roman" w:cs="Times New Roman"/>
          <w:sz w:val="28"/>
          <w:szCs w:val="28"/>
        </w:rPr>
        <w:t>ублей.</w:t>
      </w:r>
    </w:p>
    <w:p w:rsidR="00BC0290" w:rsidRDefault="00BC0290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</w:t>
      </w:r>
      <w:r w:rsidR="0008218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2A55EB">
        <w:rPr>
          <w:rFonts w:ascii="Times New Roman" w:hAnsi="Times New Roman" w:cs="Times New Roman"/>
          <w:sz w:val="28"/>
          <w:szCs w:val="28"/>
        </w:rPr>
        <w:t>2-2024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2F7917">
        <w:rPr>
          <w:rFonts w:ascii="Times New Roman" w:hAnsi="Times New Roman" w:cs="Times New Roman"/>
          <w:sz w:val="28"/>
          <w:szCs w:val="28"/>
        </w:rPr>
        <w:t>» в 20</w:t>
      </w:r>
      <w:r w:rsidR="00082182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182">
        <w:rPr>
          <w:rFonts w:ascii="Times New Roman" w:hAnsi="Times New Roman" w:cs="Times New Roman"/>
          <w:sz w:val="28"/>
          <w:szCs w:val="28"/>
        </w:rPr>
        <w:t>и</w:t>
      </w:r>
      <w:r w:rsidRPr="002F7917">
        <w:rPr>
          <w:rFonts w:ascii="Times New Roman" w:hAnsi="Times New Roman" w:cs="Times New Roman"/>
          <w:sz w:val="28"/>
          <w:szCs w:val="28"/>
        </w:rPr>
        <w:t xml:space="preserve">сполнение составило </w:t>
      </w:r>
      <w:r w:rsidR="002A55EB">
        <w:rPr>
          <w:rFonts w:ascii="Times New Roman" w:hAnsi="Times New Roman" w:cs="Times New Roman"/>
          <w:sz w:val="28"/>
          <w:szCs w:val="28"/>
        </w:rPr>
        <w:t>93,2</w:t>
      </w:r>
      <w:r w:rsidRPr="002F7917">
        <w:rPr>
          <w:rFonts w:ascii="Times New Roman" w:hAnsi="Times New Roman" w:cs="Times New Roman"/>
          <w:sz w:val="28"/>
          <w:szCs w:val="28"/>
        </w:rPr>
        <w:t>%</w:t>
      </w:r>
      <w:r w:rsidR="00B82EE3">
        <w:rPr>
          <w:rFonts w:ascii="Times New Roman" w:hAnsi="Times New Roman" w:cs="Times New Roman"/>
          <w:sz w:val="28"/>
          <w:szCs w:val="28"/>
        </w:rPr>
        <w:t xml:space="preserve"> или </w:t>
      </w:r>
      <w:r w:rsidR="002A55EB">
        <w:rPr>
          <w:rFonts w:ascii="Times New Roman" w:hAnsi="Times New Roman" w:cs="Times New Roman"/>
          <w:sz w:val="28"/>
          <w:szCs w:val="28"/>
        </w:rPr>
        <w:t>102,8</w:t>
      </w:r>
      <w:r w:rsidR="00B82EE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82E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82EE3">
        <w:rPr>
          <w:rFonts w:ascii="Times New Roman" w:hAnsi="Times New Roman" w:cs="Times New Roman"/>
          <w:sz w:val="28"/>
          <w:szCs w:val="28"/>
        </w:rPr>
        <w:t>ублей</w:t>
      </w:r>
      <w:r w:rsidRPr="002F7917">
        <w:rPr>
          <w:rFonts w:ascii="Times New Roman" w:hAnsi="Times New Roman" w:cs="Times New Roman"/>
          <w:sz w:val="28"/>
          <w:szCs w:val="28"/>
        </w:rPr>
        <w:t>.</w:t>
      </w:r>
    </w:p>
    <w:p w:rsidR="002A55EB" w:rsidRDefault="002A55EB" w:rsidP="00BC0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муниципальную программу «Обеспечение населения доступным жильем и развитие жилищной коммунальной инфраструктуры муниципального образования на 2022-2025г.» исполнение в 2022г. составило 37,4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100,0%.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осуществляться за счет</w:t>
      </w:r>
      <w:r w:rsidR="00131731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1317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</w:t>
      </w:r>
      <w:r w:rsidRPr="002F7917">
        <w:rPr>
          <w:rFonts w:ascii="Times New Roman" w:hAnsi="Times New Roman" w:cs="Times New Roman"/>
          <w:sz w:val="28"/>
          <w:szCs w:val="28"/>
        </w:rPr>
        <w:t>межбюджетных трансфертов, передаваемых бюджетам сельских поселений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бюджетов муниципальных районов на осуществление части полномочий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вопросов местного значения в соответствии с заключенными соглашениями.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4351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r w:rsidR="008062FC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8062FC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1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A55EB">
        <w:rPr>
          <w:rFonts w:ascii="Times New Roman" w:hAnsi="Times New Roman" w:cs="Times New Roman"/>
          <w:sz w:val="28"/>
          <w:szCs w:val="28"/>
        </w:rPr>
        <w:t>22-40</w:t>
      </w:r>
      <w:r w:rsidRPr="002F7917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82EE3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муниципального образования на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2A55EB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A55EB">
        <w:rPr>
          <w:rFonts w:ascii="Times New Roman" w:hAnsi="Times New Roman" w:cs="Times New Roman"/>
          <w:sz w:val="28"/>
          <w:szCs w:val="28"/>
        </w:rPr>
        <w:t>3</w:t>
      </w:r>
      <w:r w:rsidRPr="002F7917">
        <w:rPr>
          <w:rFonts w:ascii="Times New Roman" w:hAnsi="Times New Roman" w:cs="Times New Roman"/>
          <w:sz w:val="28"/>
          <w:szCs w:val="28"/>
        </w:rPr>
        <w:t xml:space="preserve"> и 202</w:t>
      </w:r>
      <w:r w:rsidR="002A55EB">
        <w:rPr>
          <w:rFonts w:ascii="Times New Roman" w:hAnsi="Times New Roman" w:cs="Times New Roman"/>
          <w:sz w:val="28"/>
          <w:szCs w:val="28"/>
        </w:rPr>
        <w:t>4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>бюджет был принят бездефицитным.</w:t>
      </w:r>
    </w:p>
    <w:p w:rsidR="00EC4C8A" w:rsidRDefault="00EC4C8A" w:rsidP="00EC4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917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</w:t>
      </w:r>
    </w:p>
    <w:tbl>
      <w:tblPr>
        <w:tblStyle w:val="a7"/>
        <w:tblW w:w="0" w:type="auto"/>
        <w:tblLook w:val="04A0"/>
      </w:tblPr>
      <w:tblGrid>
        <w:gridCol w:w="4219"/>
        <w:gridCol w:w="1701"/>
        <w:gridCol w:w="1843"/>
        <w:gridCol w:w="1808"/>
      </w:tblGrid>
      <w:tr w:rsidR="00D6136E" w:rsidTr="00D6136E">
        <w:tc>
          <w:tcPr>
            <w:tcW w:w="4219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Первоначально утвержденные назначения</w:t>
            </w:r>
          </w:p>
        </w:tc>
        <w:tc>
          <w:tcPr>
            <w:tcW w:w="1843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Уточненные бюджетные назначения</w:t>
            </w:r>
          </w:p>
        </w:tc>
        <w:tc>
          <w:tcPr>
            <w:tcW w:w="1808" w:type="dxa"/>
          </w:tcPr>
          <w:p w:rsidR="00D6136E" w:rsidRPr="00D6136E" w:rsidRDefault="00D6136E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6136E">
              <w:rPr>
                <w:rFonts w:ascii="Times New Roman" w:hAnsi="Times New Roman" w:cs="Times New Roman"/>
              </w:rPr>
              <w:t>Исполнение за 2020г.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Источники финансирования бюджета</w:t>
            </w:r>
          </w:p>
        </w:tc>
        <w:tc>
          <w:tcPr>
            <w:tcW w:w="1701" w:type="dxa"/>
          </w:tcPr>
          <w:p w:rsidR="00D6136E" w:rsidRDefault="002A55EB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D6136E" w:rsidRDefault="002A55EB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135,7</w:t>
            </w:r>
          </w:p>
        </w:tc>
        <w:tc>
          <w:tcPr>
            <w:tcW w:w="1808" w:type="dxa"/>
          </w:tcPr>
          <w:p w:rsidR="00D6136E" w:rsidRDefault="002A55EB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-306,4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1701" w:type="dxa"/>
          </w:tcPr>
          <w:p w:rsidR="00D6136E" w:rsidRDefault="002A55EB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-8053,9</w:t>
            </w:r>
          </w:p>
        </w:tc>
        <w:tc>
          <w:tcPr>
            <w:tcW w:w="1843" w:type="dxa"/>
          </w:tcPr>
          <w:p w:rsidR="00D6136E" w:rsidRDefault="002A55EB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-8180,5</w:t>
            </w:r>
          </w:p>
        </w:tc>
        <w:tc>
          <w:tcPr>
            <w:tcW w:w="1808" w:type="dxa"/>
          </w:tcPr>
          <w:p w:rsidR="00D6136E" w:rsidRDefault="002A55EB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-8316,2</w:t>
            </w:r>
          </w:p>
        </w:tc>
      </w:tr>
      <w:tr w:rsidR="00D6136E" w:rsidTr="00D6136E">
        <w:tc>
          <w:tcPr>
            <w:tcW w:w="4219" w:type="dxa"/>
          </w:tcPr>
          <w:p w:rsidR="00D6136E" w:rsidRPr="002F0018" w:rsidRDefault="00F9558D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0018">
              <w:rPr>
                <w:rFonts w:ascii="Times New Roman" w:hAnsi="Times New Roman" w:cs="Times New Roman"/>
              </w:rPr>
              <w:t xml:space="preserve">Уменьшение </w:t>
            </w:r>
            <w:r w:rsidR="002F0018" w:rsidRPr="002F0018">
              <w:rPr>
                <w:rFonts w:ascii="Times New Roman" w:hAnsi="Times New Roman" w:cs="Times New Roman"/>
              </w:rPr>
              <w:t>остатков средств бюджета</w:t>
            </w:r>
          </w:p>
        </w:tc>
        <w:tc>
          <w:tcPr>
            <w:tcW w:w="1701" w:type="dxa"/>
          </w:tcPr>
          <w:p w:rsidR="00D6136E" w:rsidRDefault="002A55EB" w:rsidP="002F7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8053,9</w:t>
            </w:r>
          </w:p>
        </w:tc>
        <w:tc>
          <w:tcPr>
            <w:tcW w:w="1843" w:type="dxa"/>
          </w:tcPr>
          <w:p w:rsidR="00D6136E" w:rsidRPr="00F44B25" w:rsidRDefault="002A55EB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8307,4</w:t>
            </w:r>
          </w:p>
        </w:tc>
        <w:tc>
          <w:tcPr>
            <w:tcW w:w="1808" w:type="dxa"/>
          </w:tcPr>
          <w:p w:rsidR="00D6136E" w:rsidRDefault="002A55EB" w:rsidP="00F44B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8009,8</w:t>
            </w:r>
          </w:p>
        </w:tc>
      </w:tr>
    </w:tbl>
    <w:p w:rsidR="009A3525" w:rsidRDefault="009A3525" w:rsidP="009A35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отчета об исполнении бюджета  </w:t>
      </w:r>
      <w:r w:rsidRPr="004618D7">
        <w:rPr>
          <w:rFonts w:ascii="Times New Roman" w:hAnsi="Times New Roman" w:cs="Times New Roman"/>
          <w:b/>
          <w:i/>
          <w:sz w:val="28"/>
          <w:szCs w:val="28"/>
        </w:rPr>
        <w:t>не приложены</w:t>
      </w:r>
      <w:r>
        <w:rPr>
          <w:rFonts w:ascii="Times New Roman" w:hAnsi="Times New Roman" w:cs="Times New Roman"/>
          <w:sz w:val="28"/>
          <w:szCs w:val="28"/>
        </w:rPr>
        <w:t xml:space="preserve">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F302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г.».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В соответствии с отчетом за 20</w:t>
      </w:r>
      <w:r w:rsidR="00EC4C8A">
        <w:rPr>
          <w:rFonts w:ascii="Times New Roman" w:hAnsi="Times New Roman" w:cs="Times New Roman"/>
          <w:sz w:val="28"/>
          <w:szCs w:val="28"/>
        </w:rPr>
        <w:t>2</w:t>
      </w:r>
      <w:r w:rsidR="00F30297">
        <w:rPr>
          <w:rFonts w:ascii="Times New Roman" w:hAnsi="Times New Roman" w:cs="Times New Roman"/>
          <w:sz w:val="28"/>
          <w:szCs w:val="28"/>
        </w:rPr>
        <w:t>2</w:t>
      </w:r>
      <w:r w:rsidRPr="002F7917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4C60BF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C4C8A">
        <w:rPr>
          <w:rFonts w:ascii="Times New Roman" w:hAnsi="Times New Roman" w:cs="Times New Roman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sz w:val="28"/>
          <w:szCs w:val="28"/>
        </w:rPr>
        <w:t xml:space="preserve">образования исполнен с </w:t>
      </w:r>
      <w:proofErr w:type="spellStart"/>
      <w:r w:rsidR="005E33BB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2F791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F30297">
        <w:rPr>
          <w:rFonts w:ascii="Times New Roman" w:hAnsi="Times New Roman" w:cs="Times New Roman"/>
          <w:sz w:val="28"/>
          <w:szCs w:val="28"/>
        </w:rPr>
        <w:t>306,4</w:t>
      </w:r>
      <w:r w:rsidR="00EC4C8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 xml:space="preserve">В разрезе источников финансирования бюджета в соответствии </w:t>
      </w:r>
      <w:proofErr w:type="gramStart"/>
      <w:r w:rsidRPr="002F7917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7B2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917">
        <w:rPr>
          <w:rFonts w:ascii="Times New Roman" w:hAnsi="Times New Roman" w:cs="Times New Roman"/>
          <w:sz w:val="28"/>
          <w:szCs w:val="28"/>
        </w:rPr>
        <w:t>представленным отчетом исполнение составило: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 увеличение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8316,2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-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8180,5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-уменьшение прочих остатков денежных средств бюджетов сельских поселений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8009,8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при утвержденных бюджетных назначениях в сумме 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8307,4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рубл</w:t>
      </w:r>
      <w:r w:rsidR="00B228B2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Разница данных показателей дает </w:t>
      </w:r>
      <w:r w:rsidR="005E33BB">
        <w:rPr>
          <w:rFonts w:ascii="Times New Roman" w:hAnsi="Times New Roman" w:cs="Times New Roman"/>
          <w:color w:val="000000"/>
          <w:sz w:val="28"/>
          <w:szCs w:val="28"/>
        </w:rPr>
        <w:t>положительную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единицу, в результате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получаем </w:t>
      </w:r>
      <w:proofErr w:type="spellStart"/>
      <w:r w:rsidR="005E33BB">
        <w:rPr>
          <w:rFonts w:ascii="Times New Roman" w:hAnsi="Times New Roman" w:cs="Times New Roman"/>
          <w:color w:val="000000"/>
          <w:sz w:val="28"/>
          <w:szCs w:val="28"/>
        </w:rPr>
        <w:t>профицит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в сумме 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306,4</w:t>
      </w:r>
      <w:r w:rsidR="00D32B3B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Согласно ст. 96 Бюджетного кодекса РФ в состав источников входит изменение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остатков средств на счетах по учету средств местного бюджета в течение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соответствующего финансового года. То есть, после завершения операций по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принятым обязательствам закончившегося года остаток средств на бюджетном счете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D0D0D"/>
          <w:sz w:val="28"/>
          <w:szCs w:val="28"/>
        </w:rPr>
        <w:t>подлежит учету в качестве остатка средств на начало очередного финансового года.</w:t>
      </w:r>
    </w:p>
    <w:p w:rsidR="00BA796F" w:rsidRPr="005E33BB" w:rsidRDefault="00BA796F" w:rsidP="00BA796F">
      <w:pPr>
        <w:autoSpaceDE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E33BB">
        <w:rPr>
          <w:rFonts w:ascii="Times New Roman" w:hAnsi="Times New Roman" w:cs="Times New Roman"/>
          <w:b/>
          <w:i/>
          <w:sz w:val="28"/>
          <w:szCs w:val="28"/>
        </w:rPr>
        <w:t xml:space="preserve">Внесенные изменения в бюджет муниципального образования принимались без проведения экспертизы </w:t>
      </w:r>
      <w:r w:rsidR="005E33B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E33BB">
        <w:rPr>
          <w:rFonts w:ascii="Times New Roman" w:hAnsi="Times New Roman" w:cs="Times New Roman"/>
          <w:b/>
          <w:i/>
          <w:sz w:val="28"/>
          <w:szCs w:val="28"/>
        </w:rPr>
        <w:t>онтрольно-счетной комиссии, также</w:t>
      </w:r>
      <w:r w:rsidRPr="005E33BB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5E33BB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 предоставлялись на</w:t>
      </w:r>
      <w:r w:rsidRPr="005E33BB">
        <w:rPr>
          <w:rFonts w:ascii="Times New Roman" w:hAnsi="Times New Roman" w:cs="Times New Roman"/>
          <w:b/>
          <w:i/>
          <w:color w:val="000000"/>
          <w:sz w:val="23"/>
          <w:szCs w:val="23"/>
        </w:rPr>
        <w:t xml:space="preserve"> </w:t>
      </w:r>
      <w:r w:rsidRPr="005E33BB">
        <w:rPr>
          <w:rFonts w:ascii="Times New Roman" w:hAnsi="Times New Roman" w:cs="Times New Roman"/>
          <w:b/>
          <w:i/>
          <w:color w:val="000000"/>
          <w:sz w:val="28"/>
          <w:szCs w:val="28"/>
        </w:rPr>
        <w:t>финансово-экономическую экспертизу проекты муниципальных программ, нормативно правовых актов в части, касающейся расходных обязательств МО.</w:t>
      </w:r>
      <w:r w:rsidRPr="005E33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Выводы и предложения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Бюджетная отчетность, представленная в </w:t>
      </w:r>
      <w:r w:rsidR="00D5057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онтрольно-счетную комиссию</w:t>
      </w:r>
    </w:p>
    <w:p w:rsidR="002F7917" w:rsidRPr="002F7917" w:rsidRDefault="005323D9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соответствует требованиям ст. 264.1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РФ, п. 11 Инструкции №191н, в сроки, установленные ст. 264.4</w:t>
      </w:r>
      <w:r w:rsidR="002F79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7917" w:rsidRPr="002F7917">
        <w:rPr>
          <w:rFonts w:ascii="Times New Roman" w:hAnsi="Times New Roman" w:cs="Times New Roman"/>
          <w:color w:val="000000"/>
          <w:sz w:val="28"/>
          <w:szCs w:val="28"/>
        </w:rPr>
        <w:t>Бюджетного кодекса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Плановые бюджетные назначения отчета об исполнении бюджета (ф. 0503127)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соответствуют данным бюджетной росписи </w:t>
      </w:r>
      <w:proofErr w:type="spellStart"/>
      <w:r w:rsidR="004C60BF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4C60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образования за 202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Проведенная внешняя проверка подтвердила, что расходование </w:t>
      </w:r>
      <w:proofErr w:type="gramStart"/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gramEnd"/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средств в 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году ГРБС осуществлялось в пределах ассигнований, утвержденных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бюджетной росписью и бюджетных полномочий, определенных ст. 158 БК РФ.</w:t>
      </w:r>
    </w:p>
    <w:p w:rsidR="002F7917" w:rsidRP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Расходование средств резервного фонда в отчетном периоде не</w:t>
      </w:r>
    </w:p>
    <w:p w:rsidR="002F7917" w:rsidRDefault="002F7917" w:rsidP="002F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7917">
        <w:rPr>
          <w:rFonts w:ascii="Times New Roman" w:hAnsi="Times New Roman" w:cs="Times New Roman"/>
          <w:color w:val="000000"/>
          <w:sz w:val="28"/>
          <w:szCs w:val="28"/>
        </w:rPr>
        <w:t>осуществлялось.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Муниципальный долг муниципального образования на 01.01.20</w:t>
      </w:r>
      <w:r w:rsidR="005323D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3029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отсутствует.</w:t>
      </w:r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По основным показателям отчет об исполнении бюджета </w:t>
      </w:r>
      <w:proofErr w:type="spellStart"/>
      <w:r w:rsidR="003F1E6A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8864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соответствует требованиям Инструкции о порядке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составления и представления годовой, квартальной и месячной отчетности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исполнении бюджетов бюджетной системы Российской Федерации, утвержденной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Приказом Минфина РФ от 28 декабря 2010 г. №191н. Соотношения между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показателями форм годовой бюджетной отчетности соблюдены. В целом показатели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годовой бюджетной отчетности </w:t>
      </w:r>
      <w:proofErr w:type="spellStart"/>
      <w:r w:rsidR="00AA146B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2F79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917">
        <w:rPr>
          <w:rFonts w:ascii="Times New Roman" w:hAnsi="Times New Roman" w:cs="Times New Roman"/>
          <w:color w:val="000000"/>
          <w:sz w:val="28"/>
          <w:szCs w:val="28"/>
        </w:rPr>
        <w:t>быть признаны достоверными.</w:t>
      </w:r>
    </w:p>
    <w:p w:rsidR="002F7917" w:rsidRPr="002F7917" w:rsidRDefault="00EC4C61" w:rsidP="00222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66C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Pr="001B0F2B">
        <w:rPr>
          <w:rFonts w:ascii="Times New Roman" w:hAnsi="Times New Roman" w:cs="Times New Roman"/>
          <w:b/>
          <w:color w:val="000000"/>
          <w:sz w:val="28"/>
          <w:szCs w:val="28"/>
        </w:rPr>
        <w:t>нарушении</w:t>
      </w:r>
      <w:r w:rsidRPr="00666CE6">
        <w:rPr>
          <w:rFonts w:ascii="Times New Roman" w:hAnsi="Times New Roman" w:cs="Times New Roman"/>
          <w:color w:val="000000"/>
          <w:sz w:val="28"/>
          <w:szCs w:val="28"/>
        </w:rPr>
        <w:t xml:space="preserve"> ст.264.4 БК РФ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666CE6">
        <w:rPr>
          <w:rFonts w:ascii="Times New Roman" w:hAnsi="Times New Roman" w:cs="Times New Roman"/>
          <w:color w:val="000000"/>
          <w:sz w:val="28"/>
          <w:szCs w:val="28"/>
        </w:rPr>
        <w:t xml:space="preserve"> МО г</w:t>
      </w:r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одовой отчет об исполнении бюджета рассмотрен и утвержден  Советом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Новокраснянского</w:t>
      </w:r>
      <w:proofErr w:type="spellEnd"/>
      <w:r w:rsidRPr="00666C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228F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2023-05-02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5-02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917" w:rsidRPr="002F7917" w:rsidSect="00D6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02F"/>
    <w:rsid w:val="000054AB"/>
    <w:rsid w:val="0000584D"/>
    <w:rsid w:val="00010951"/>
    <w:rsid w:val="0002296A"/>
    <w:rsid w:val="00024FDE"/>
    <w:rsid w:val="00030C83"/>
    <w:rsid w:val="000348EC"/>
    <w:rsid w:val="00036101"/>
    <w:rsid w:val="00047FFA"/>
    <w:rsid w:val="00053BF0"/>
    <w:rsid w:val="000642FA"/>
    <w:rsid w:val="000774A3"/>
    <w:rsid w:val="00082182"/>
    <w:rsid w:val="00082DBB"/>
    <w:rsid w:val="000945D4"/>
    <w:rsid w:val="00095EC5"/>
    <w:rsid w:val="000B51E3"/>
    <w:rsid w:val="000D787D"/>
    <w:rsid w:val="000E09A1"/>
    <w:rsid w:val="000E5469"/>
    <w:rsid w:val="000F1986"/>
    <w:rsid w:val="000F640B"/>
    <w:rsid w:val="00102B11"/>
    <w:rsid w:val="001034DD"/>
    <w:rsid w:val="00107037"/>
    <w:rsid w:val="001132E1"/>
    <w:rsid w:val="00126772"/>
    <w:rsid w:val="00131731"/>
    <w:rsid w:val="00134D54"/>
    <w:rsid w:val="00144DED"/>
    <w:rsid w:val="00165019"/>
    <w:rsid w:val="001724DF"/>
    <w:rsid w:val="00177F14"/>
    <w:rsid w:val="001A7984"/>
    <w:rsid w:val="001C117D"/>
    <w:rsid w:val="001C494D"/>
    <w:rsid w:val="001D7E82"/>
    <w:rsid w:val="001E2B81"/>
    <w:rsid w:val="001E3158"/>
    <w:rsid w:val="00214E5A"/>
    <w:rsid w:val="00215A0C"/>
    <w:rsid w:val="002228FE"/>
    <w:rsid w:val="00232617"/>
    <w:rsid w:val="00241C50"/>
    <w:rsid w:val="0026131C"/>
    <w:rsid w:val="00265545"/>
    <w:rsid w:val="00270A9D"/>
    <w:rsid w:val="00290050"/>
    <w:rsid w:val="0029528C"/>
    <w:rsid w:val="002961D8"/>
    <w:rsid w:val="002A55EB"/>
    <w:rsid w:val="002C6B75"/>
    <w:rsid w:val="002D0E1D"/>
    <w:rsid w:val="002D2331"/>
    <w:rsid w:val="002E4E88"/>
    <w:rsid w:val="002F0018"/>
    <w:rsid w:val="002F7917"/>
    <w:rsid w:val="00301426"/>
    <w:rsid w:val="00306A0C"/>
    <w:rsid w:val="00312E61"/>
    <w:rsid w:val="00320070"/>
    <w:rsid w:val="003311DB"/>
    <w:rsid w:val="00341B40"/>
    <w:rsid w:val="00352B16"/>
    <w:rsid w:val="003620A5"/>
    <w:rsid w:val="00362662"/>
    <w:rsid w:val="00362DE8"/>
    <w:rsid w:val="003A1890"/>
    <w:rsid w:val="003A3528"/>
    <w:rsid w:val="003B538A"/>
    <w:rsid w:val="003B7353"/>
    <w:rsid w:val="003C7C87"/>
    <w:rsid w:val="003F1E6A"/>
    <w:rsid w:val="0040431C"/>
    <w:rsid w:val="00405EF1"/>
    <w:rsid w:val="0041676C"/>
    <w:rsid w:val="00417514"/>
    <w:rsid w:val="00446F1A"/>
    <w:rsid w:val="00473141"/>
    <w:rsid w:val="0047439A"/>
    <w:rsid w:val="004C60BF"/>
    <w:rsid w:val="004F0928"/>
    <w:rsid w:val="004F7D5A"/>
    <w:rsid w:val="00520DDD"/>
    <w:rsid w:val="0052542C"/>
    <w:rsid w:val="005323D9"/>
    <w:rsid w:val="00542BEB"/>
    <w:rsid w:val="00555BB8"/>
    <w:rsid w:val="005633F8"/>
    <w:rsid w:val="005711D7"/>
    <w:rsid w:val="00584035"/>
    <w:rsid w:val="00594105"/>
    <w:rsid w:val="005B4C70"/>
    <w:rsid w:val="005B7329"/>
    <w:rsid w:val="005B7F81"/>
    <w:rsid w:val="005C0979"/>
    <w:rsid w:val="005C1668"/>
    <w:rsid w:val="005D39C8"/>
    <w:rsid w:val="005E33BB"/>
    <w:rsid w:val="005E7666"/>
    <w:rsid w:val="0060122D"/>
    <w:rsid w:val="00606C51"/>
    <w:rsid w:val="00607BA5"/>
    <w:rsid w:val="006108C8"/>
    <w:rsid w:val="0061739C"/>
    <w:rsid w:val="00633160"/>
    <w:rsid w:val="00644861"/>
    <w:rsid w:val="00644A18"/>
    <w:rsid w:val="0064726B"/>
    <w:rsid w:val="0065610C"/>
    <w:rsid w:val="00670DF3"/>
    <w:rsid w:val="00683D34"/>
    <w:rsid w:val="006905DD"/>
    <w:rsid w:val="006C4B63"/>
    <w:rsid w:val="006C7CE3"/>
    <w:rsid w:val="006D04E0"/>
    <w:rsid w:val="006E226A"/>
    <w:rsid w:val="006E2D13"/>
    <w:rsid w:val="006E3E62"/>
    <w:rsid w:val="006E5917"/>
    <w:rsid w:val="007029CD"/>
    <w:rsid w:val="007068DC"/>
    <w:rsid w:val="00736FAD"/>
    <w:rsid w:val="00743512"/>
    <w:rsid w:val="00745A1A"/>
    <w:rsid w:val="00767D2D"/>
    <w:rsid w:val="007A5010"/>
    <w:rsid w:val="007A5405"/>
    <w:rsid w:val="007C4DCF"/>
    <w:rsid w:val="007E22A7"/>
    <w:rsid w:val="007F5B29"/>
    <w:rsid w:val="008062FC"/>
    <w:rsid w:val="00815690"/>
    <w:rsid w:val="008209A5"/>
    <w:rsid w:val="008214D0"/>
    <w:rsid w:val="008229CD"/>
    <w:rsid w:val="00867AD5"/>
    <w:rsid w:val="0087399C"/>
    <w:rsid w:val="00873EC7"/>
    <w:rsid w:val="008864C9"/>
    <w:rsid w:val="008A384F"/>
    <w:rsid w:val="008B2E2C"/>
    <w:rsid w:val="008B31B2"/>
    <w:rsid w:val="008B470D"/>
    <w:rsid w:val="008B55B4"/>
    <w:rsid w:val="008B64BE"/>
    <w:rsid w:val="008E6C24"/>
    <w:rsid w:val="00901E84"/>
    <w:rsid w:val="009247B2"/>
    <w:rsid w:val="009248F4"/>
    <w:rsid w:val="009307F5"/>
    <w:rsid w:val="00931B03"/>
    <w:rsid w:val="00937ED5"/>
    <w:rsid w:val="00957095"/>
    <w:rsid w:val="009A101E"/>
    <w:rsid w:val="009A2BA4"/>
    <w:rsid w:val="009A3525"/>
    <w:rsid w:val="009A4120"/>
    <w:rsid w:val="009B0340"/>
    <w:rsid w:val="009B0D2C"/>
    <w:rsid w:val="009B1F6B"/>
    <w:rsid w:val="009C461F"/>
    <w:rsid w:val="009C4B1E"/>
    <w:rsid w:val="009F102F"/>
    <w:rsid w:val="00A00C38"/>
    <w:rsid w:val="00A06BC7"/>
    <w:rsid w:val="00A10E26"/>
    <w:rsid w:val="00A52260"/>
    <w:rsid w:val="00A63D20"/>
    <w:rsid w:val="00A66627"/>
    <w:rsid w:val="00A84C3A"/>
    <w:rsid w:val="00A93F34"/>
    <w:rsid w:val="00AA146B"/>
    <w:rsid w:val="00AB017B"/>
    <w:rsid w:val="00AB19A4"/>
    <w:rsid w:val="00AD3D96"/>
    <w:rsid w:val="00AD5F5D"/>
    <w:rsid w:val="00AE2F5B"/>
    <w:rsid w:val="00AF39F5"/>
    <w:rsid w:val="00B044B5"/>
    <w:rsid w:val="00B1101D"/>
    <w:rsid w:val="00B228B2"/>
    <w:rsid w:val="00B22B23"/>
    <w:rsid w:val="00B24667"/>
    <w:rsid w:val="00B40360"/>
    <w:rsid w:val="00B41E57"/>
    <w:rsid w:val="00B46460"/>
    <w:rsid w:val="00B466AE"/>
    <w:rsid w:val="00B571BA"/>
    <w:rsid w:val="00B82EE3"/>
    <w:rsid w:val="00B94E93"/>
    <w:rsid w:val="00BA796F"/>
    <w:rsid w:val="00BB48B7"/>
    <w:rsid w:val="00BC0290"/>
    <w:rsid w:val="00BC5F28"/>
    <w:rsid w:val="00BF791C"/>
    <w:rsid w:val="00C02579"/>
    <w:rsid w:val="00C06A31"/>
    <w:rsid w:val="00C216BA"/>
    <w:rsid w:val="00C31EDD"/>
    <w:rsid w:val="00C4697C"/>
    <w:rsid w:val="00C60386"/>
    <w:rsid w:val="00C64764"/>
    <w:rsid w:val="00C80913"/>
    <w:rsid w:val="00C95090"/>
    <w:rsid w:val="00CB7D9D"/>
    <w:rsid w:val="00CC1E74"/>
    <w:rsid w:val="00CC291D"/>
    <w:rsid w:val="00CD69C2"/>
    <w:rsid w:val="00CE6DD6"/>
    <w:rsid w:val="00CF2141"/>
    <w:rsid w:val="00D32B3B"/>
    <w:rsid w:val="00D50577"/>
    <w:rsid w:val="00D6136E"/>
    <w:rsid w:val="00D67AC2"/>
    <w:rsid w:val="00D86378"/>
    <w:rsid w:val="00D87EE1"/>
    <w:rsid w:val="00D92B31"/>
    <w:rsid w:val="00DB2996"/>
    <w:rsid w:val="00DC1A7E"/>
    <w:rsid w:val="00DC6941"/>
    <w:rsid w:val="00DD12C6"/>
    <w:rsid w:val="00E16128"/>
    <w:rsid w:val="00E23417"/>
    <w:rsid w:val="00E26116"/>
    <w:rsid w:val="00E31540"/>
    <w:rsid w:val="00E35634"/>
    <w:rsid w:val="00E525E4"/>
    <w:rsid w:val="00E73793"/>
    <w:rsid w:val="00EA7588"/>
    <w:rsid w:val="00EC4C61"/>
    <w:rsid w:val="00EC4C8A"/>
    <w:rsid w:val="00ED164F"/>
    <w:rsid w:val="00EE354E"/>
    <w:rsid w:val="00EF0E6B"/>
    <w:rsid w:val="00F01F95"/>
    <w:rsid w:val="00F30297"/>
    <w:rsid w:val="00F34207"/>
    <w:rsid w:val="00F35D38"/>
    <w:rsid w:val="00F37ED8"/>
    <w:rsid w:val="00F44B25"/>
    <w:rsid w:val="00F74718"/>
    <w:rsid w:val="00F825AB"/>
    <w:rsid w:val="00F87F9E"/>
    <w:rsid w:val="00F9558D"/>
    <w:rsid w:val="00F976F9"/>
    <w:rsid w:val="00FA3F66"/>
    <w:rsid w:val="00FB2D06"/>
    <w:rsid w:val="00FB7688"/>
    <w:rsid w:val="00FC36CB"/>
    <w:rsid w:val="00FC420D"/>
    <w:rsid w:val="00FC6D8A"/>
    <w:rsid w:val="00FD53EE"/>
    <w:rsid w:val="00FE1C2A"/>
    <w:rsid w:val="00FE4F05"/>
    <w:rsid w:val="00FE6CE4"/>
    <w:rsid w:val="00FE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9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F39F5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AF39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44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144D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E614-E01C-4E4C-90A0-9DDB0E43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2023-03-30T07:04:00Z</cp:lastPrinted>
  <dcterms:created xsi:type="dcterms:W3CDTF">2023-05-02T11:06:00Z</dcterms:created>
  <dcterms:modified xsi:type="dcterms:W3CDTF">2023-05-02T11:06:00Z</dcterms:modified>
</cp:coreProperties>
</file>