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AD5E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Перекопновского</w:t>
      </w:r>
      <w:proofErr w:type="spellEnd"/>
      <w:r w:rsidR="00AD5E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</w:t>
      </w:r>
      <w:r w:rsidR="00AD5E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2021г.</w:t>
      </w:r>
    </w:p>
    <w:p w:rsidR="00AD5EB2" w:rsidRPr="00331607" w:rsidRDefault="00AD5EB2" w:rsidP="00AD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607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Контрольно-счетной комиссией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17 п.3 Положения о бюджетном процессе в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МО от 06.11.2017 №101-197, пункта 1.3. Соглашения о передаче Контрольно-счетной комиссии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Новосельского муниципального образования по осуществлению внешнего муниципального финансового контроля №1 от 01.11.2014г.</w:t>
      </w:r>
    </w:p>
    <w:p w:rsidR="00AD5EB2" w:rsidRPr="00E319BE" w:rsidRDefault="00AD5EB2" w:rsidP="00AD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20545B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20545B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20545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20545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spellStart"/>
      <w:r w:rsidR="0020545B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proofErr w:type="spellStart"/>
      <w:r w:rsidR="002054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20545B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20г. №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F1164D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164D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1164D">
        <w:rPr>
          <w:rFonts w:ascii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164D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F116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164D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116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164D">
        <w:rPr>
          <w:rFonts w:ascii="Times New Roman" w:hAnsi="Times New Roman" w:cs="Times New Roman"/>
          <w:color w:val="000000"/>
          <w:sz w:val="28"/>
          <w:szCs w:val="28"/>
        </w:rPr>
        <w:t>96; от 06.10.2020г. №35-97;</w:t>
      </w:r>
      <w:proofErr w:type="gramEnd"/>
      <w:r w:rsidR="00F1164D">
        <w:rPr>
          <w:rFonts w:ascii="Times New Roman" w:hAnsi="Times New Roman" w:cs="Times New Roman"/>
          <w:color w:val="000000"/>
          <w:sz w:val="28"/>
          <w:szCs w:val="28"/>
        </w:rPr>
        <w:t xml:space="preserve"> от 09.11.2020г. №38-103; от 17.11.2020г. №39-106; от 17.12.2020г. №41-108; от 29.12.2020г. №42-110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02F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внесенных в ходе его исполнения,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E39">
        <w:rPr>
          <w:rFonts w:ascii="Times New Roman" w:hAnsi="Times New Roman" w:cs="Times New Roman"/>
          <w:b/>
          <w:bCs/>
          <w:sz w:val="28"/>
          <w:szCs w:val="28"/>
        </w:rPr>
        <w:t>Прове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3E56B7">
        <w:rPr>
          <w:rFonts w:ascii="Times New Roman" w:hAnsi="Times New Roman" w:cs="Times New Roman"/>
          <w:sz w:val="28"/>
          <w:szCs w:val="28"/>
        </w:rPr>
        <w:t>715,4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3E56B7">
        <w:rPr>
          <w:rFonts w:ascii="Times New Roman" w:hAnsi="Times New Roman" w:cs="Times New Roman"/>
          <w:sz w:val="28"/>
          <w:szCs w:val="28"/>
        </w:rPr>
        <w:t>5851,2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3E56B7">
        <w:rPr>
          <w:rFonts w:ascii="Times New Roman" w:hAnsi="Times New Roman" w:cs="Times New Roman"/>
          <w:sz w:val="28"/>
          <w:szCs w:val="28"/>
        </w:rPr>
        <w:t xml:space="preserve">1427,8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3E56B7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E1780">
        <w:rPr>
          <w:rFonts w:ascii="Times New Roman" w:hAnsi="Times New Roman" w:cs="Times New Roman"/>
          <w:sz w:val="28"/>
          <w:szCs w:val="28"/>
        </w:rPr>
        <w:t>877,7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A06BC7" w:rsidRPr="00F825AB">
        <w:rPr>
          <w:rFonts w:ascii="Times New Roman" w:hAnsi="Times New Roman" w:cs="Times New Roman"/>
          <w:sz w:val="28"/>
          <w:szCs w:val="28"/>
        </w:rPr>
        <w:t>19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0E1780">
        <w:rPr>
          <w:rFonts w:ascii="Times New Roman" w:hAnsi="Times New Roman" w:cs="Times New Roman"/>
          <w:sz w:val="28"/>
          <w:szCs w:val="28"/>
        </w:rPr>
        <w:t>5,0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E1780">
        <w:rPr>
          <w:rFonts w:ascii="Times New Roman" w:hAnsi="Times New Roman" w:cs="Times New Roman"/>
          <w:sz w:val="28"/>
          <w:szCs w:val="28"/>
        </w:rPr>
        <w:t>з</w:t>
      </w:r>
      <w:r w:rsidRPr="00F825AB">
        <w:rPr>
          <w:rFonts w:ascii="Times New Roman" w:hAnsi="Times New Roman" w:cs="Times New Roman"/>
          <w:sz w:val="28"/>
          <w:szCs w:val="28"/>
        </w:rPr>
        <w:t>начительное у</w:t>
      </w:r>
      <w:r w:rsidR="000E1780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0E1780">
        <w:rPr>
          <w:rFonts w:ascii="Times New Roman" w:hAnsi="Times New Roman" w:cs="Times New Roman"/>
          <w:sz w:val="28"/>
          <w:szCs w:val="28"/>
        </w:rPr>
        <w:t>37,9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</w:t>
      </w:r>
      <w:r w:rsidR="000E1780">
        <w:rPr>
          <w:rFonts w:ascii="Times New Roman" w:hAnsi="Times New Roman" w:cs="Times New Roman"/>
          <w:sz w:val="28"/>
          <w:szCs w:val="28"/>
        </w:rPr>
        <w:t>4395,6 тыс</w:t>
      </w:r>
      <w:proofErr w:type="gramStart"/>
      <w:r w:rsidR="000E17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1780">
        <w:rPr>
          <w:rFonts w:ascii="Times New Roman" w:hAnsi="Times New Roman" w:cs="Times New Roman"/>
          <w:sz w:val="28"/>
          <w:szCs w:val="28"/>
        </w:rPr>
        <w:t>уб</w:t>
      </w:r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151E0">
        <w:rPr>
          <w:rFonts w:ascii="Times New Roman" w:hAnsi="Times New Roman" w:cs="Times New Roman"/>
          <w:sz w:val="28"/>
          <w:szCs w:val="28"/>
        </w:rPr>
        <w:t xml:space="preserve">398,8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B151E0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151E0">
        <w:rPr>
          <w:rFonts w:ascii="Times New Roman" w:hAnsi="Times New Roman" w:cs="Times New Roman"/>
          <w:sz w:val="28"/>
          <w:szCs w:val="28"/>
        </w:rPr>
        <w:t>5980,3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7442FE">
        <w:rPr>
          <w:rFonts w:ascii="Times New Roman" w:hAnsi="Times New Roman" w:cs="Times New Roman"/>
          <w:sz w:val="28"/>
          <w:szCs w:val="28"/>
        </w:rPr>
        <w:t>7,2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="007442FE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7442FE">
        <w:rPr>
          <w:rFonts w:ascii="Times New Roman" w:hAnsi="Times New Roman" w:cs="Times New Roman"/>
          <w:sz w:val="28"/>
          <w:szCs w:val="28"/>
        </w:rPr>
        <w:t>2,8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доходам на 01 января 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442FE">
        <w:rPr>
          <w:rFonts w:ascii="Times New Roman" w:hAnsi="Times New Roman" w:cs="Times New Roman"/>
          <w:sz w:val="28"/>
          <w:szCs w:val="28"/>
        </w:rPr>
        <w:t>7,2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442FE">
        <w:rPr>
          <w:rFonts w:ascii="Times New Roman" w:hAnsi="Times New Roman" w:cs="Times New Roman"/>
          <w:sz w:val="28"/>
          <w:szCs w:val="28"/>
        </w:rPr>
        <w:t>5,4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442FE">
        <w:rPr>
          <w:rFonts w:ascii="Times New Roman" w:hAnsi="Times New Roman" w:cs="Times New Roman"/>
          <w:sz w:val="28"/>
          <w:szCs w:val="28"/>
        </w:rPr>
        <w:t>5858,4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7442FE">
        <w:rPr>
          <w:rFonts w:ascii="Times New Roman" w:hAnsi="Times New Roman" w:cs="Times New Roman"/>
          <w:sz w:val="28"/>
          <w:szCs w:val="28"/>
        </w:rPr>
        <w:t>5803,3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3B3796">
        <w:rPr>
          <w:rFonts w:ascii="Times New Roman" w:hAnsi="Times New Roman" w:cs="Times New Roman"/>
          <w:sz w:val="28"/>
          <w:szCs w:val="28"/>
        </w:rPr>
        <w:t>100,0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0076C1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7020,8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9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6C1">
        <w:rPr>
          <w:rFonts w:ascii="Times New Roman" w:hAnsi="Times New Roman" w:cs="Times New Roman"/>
          <w:color w:val="000000"/>
          <w:sz w:val="28"/>
          <w:szCs w:val="28"/>
        </w:rPr>
        <w:t>6957,5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0076C1">
        <w:rPr>
          <w:rFonts w:ascii="Times New Roman" w:hAnsi="Times New Roman" w:cs="Times New Roman"/>
          <w:color w:val="000000"/>
          <w:sz w:val="28"/>
          <w:szCs w:val="28"/>
        </w:rPr>
        <w:t>63,3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0076C1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0076C1">
        <w:rPr>
          <w:rFonts w:ascii="Times New Roman" w:hAnsi="Times New Roman" w:cs="Times New Roman"/>
          <w:color w:val="000000"/>
          <w:sz w:val="28"/>
          <w:szCs w:val="28"/>
        </w:rPr>
        <w:t>5,4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1г. составляет </w:t>
      </w:r>
      <w:r w:rsidR="000076C1">
        <w:rPr>
          <w:rFonts w:ascii="Times New Roman" w:hAnsi="Times New Roman" w:cs="Times New Roman"/>
          <w:color w:val="000000"/>
          <w:sz w:val="28"/>
          <w:szCs w:val="28"/>
        </w:rPr>
        <w:t>7,2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B0022F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B0022F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B00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Перекопновского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B0022F">
        <w:rPr>
          <w:rFonts w:ascii="Times New Roman" w:hAnsi="Times New Roman" w:cs="Times New Roman"/>
          <w:color w:val="0D0D0D"/>
          <w:sz w:val="28"/>
          <w:szCs w:val="28"/>
        </w:rPr>
        <w:t>Перекопновского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  <w:r w:rsidR="00B002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B0022F">
        <w:rPr>
          <w:rFonts w:ascii="Times New Roman" w:hAnsi="Times New Roman" w:cs="Times New Roman"/>
          <w:color w:val="0D0D0D"/>
          <w:sz w:val="28"/>
          <w:szCs w:val="28"/>
        </w:rPr>
        <w:t>Перекопновского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B0022F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B0022F">
        <w:rPr>
          <w:rFonts w:ascii="Times New Roman" w:hAnsi="Times New Roman" w:cs="Times New Roman"/>
          <w:color w:val="0D0D0D"/>
          <w:sz w:val="28"/>
          <w:szCs w:val="28"/>
        </w:rPr>
        <w:t>27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B0022F">
        <w:rPr>
          <w:rFonts w:ascii="Times New Roman" w:hAnsi="Times New Roman" w:cs="Times New Roman"/>
          <w:color w:val="0D0D0D"/>
          <w:sz w:val="28"/>
          <w:szCs w:val="28"/>
        </w:rPr>
        <w:t>67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B0022F">
        <w:rPr>
          <w:rFonts w:ascii="Times New Roman" w:hAnsi="Times New Roman" w:cs="Times New Roman"/>
          <w:color w:val="0D0D0D"/>
          <w:sz w:val="28"/>
          <w:szCs w:val="28"/>
        </w:rPr>
        <w:t>Перекопновского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B0022F">
        <w:rPr>
          <w:rFonts w:ascii="Times New Roman" w:hAnsi="Times New Roman" w:cs="Times New Roman"/>
          <w:color w:val="0D0D0D"/>
          <w:sz w:val="28"/>
          <w:szCs w:val="28"/>
        </w:rPr>
        <w:t>4650,7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B0022F">
        <w:rPr>
          <w:rFonts w:ascii="Times New Roman" w:hAnsi="Times New Roman" w:cs="Times New Roman"/>
          <w:color w:val="0D0D0D"/>
          <w:sz w:val="28"/>
          <w:szCs w:val="28"/>
        </w:rPr>
        <w:t>4650,7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9A248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2187,8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47,0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>%. Расходн</w:t>
      </w:r>
      <w:r>
        <w:rPr>
          <w:rFonts w:ascii="Times New Roman" w:hAnsi="Times New Roman" w:cs="Times New Roman"/>
          <w:color w:val="0D0D0D"/>
          <w:sz w:val="28"/>
          <w:szCs w:val="28"/>
        </w:rPr>
        <w:t>ая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D0D0D"/>
          <w:sz w:val="28"/>
          <w:szCs w:val="28"/>
        </w:rPr>
        <w:t>ь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2385,8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51,3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9A248B">
        <w:rPr>
          <w:rFonts w:ascii="Times New Roman" w:hAnsi="Times New Roman" w:cs="Times New Roman"/>
          <w:color w:val="0D0D0D"/>
          <w:sz w:val="28"/>
          <w:szCs w:val="28"/>
        </w:rPr>
        <w:t>6838,5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9A248B">
        <w:rPr>
          <w:rFonts w:ascii="Times New Roman" w:hAnsi="Times New Roman" w:cs="Times New Roman"/>
          <w:color w:val="0D0D0D"/>
          <w:sz w:val="28"/>
          <w:szCs w:val="28"/>
        </w:rPr>
        <w:t>7036,5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9A248B">
        <w:rPr>
          <w:rFonts w:ascii="Times New Roman" w:hAnsi="Times New Roman" w:cs="Times New Roman"/>
          <w:color w:val="0D0D0D"/>
          <w:sz w:val="28"/>
          <w:szCs w:val="28"/>
        </w:rPr>
        <w:t>198,0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714427">
        <w:rPr>
          <w:rFonts w:ascii="Times New Roman" w:hAnsi="Times New Roman" w:cs="Times New Roman"/>
          <w:color w:val="000000"/>
          <w:sz w:val="28"/>
          <w:szCs w:val="28"/>
        </w:rPr>
        <w:t>6660,9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714427">
        <w:rPr>
          <w:rFonts w:ascii="Times New Roman" w:hAnsi="Times New Roman" w:cs="Times New Roman"/>
          <w:color w:val="000000"/>
          <w:sz w:val="28"/>
          <w:szCs w:val="28"/>
        </w:rPr>
        <w:t>97,4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714427">
        <w:rPr>
          <w:rFonts w:ascii="Times New Roman" w:hAnsi="Times New Roman" w:cs="Times New Roman"/>
          <w:color w:val="000000"/>
          <w:sz w:val="28"/>
          <w:szCs w:val="28"/>
        </w:rPr>
        <w:t>6957,4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714427">
        <w:rPr>
          <w:rFonts w:ascii="Times New Roman" w:hAnsi="Times New Roman" w:cs="Times New Roman"/>
          <w:color w:val="000000"/>
          <w:sz w:val="28"/>
          <w:szCs w:val="28"/>
        </w:rPr>
        <w:t>98,8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E16128">
        <w:rPr>
          <w:rFonts w:ascii="Times New Roman" w:hAnsi="Times New Roman" w:cs="Times New Roman"/>
          <w:sz w:val="28"/>
          <w:szCs w:val="28"/>
        </w:rPr>
        <w:t>дефицит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714427">
        <w:rPr>
          <w:rFonts w:ascii="Times New Roman" w:hAnsi="Times New Roman" w:cs="Times New Roman"/>
          <w:sz w:val="28"/>
          <w:szCs w:val="28"/>
        </w:rPr>
        <w:t>296,5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714427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418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6838,5</w:t>
            </w:r>
          </w:p>
        </w:tc>
        <w:tc>
          <w:tcPr>
            <w:tcW w:w="1275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6660,9</w:t>
            </w:r>
          </w:p>
        </w:tc>
        <w:tc>
          <w:tcPr>
            <w:tcW w:w="1070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589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-177,6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2373,5</w:t>
            </w:r>
          </w:p>
        </w:tc>
        <w:tc>
          <w:tcPr>
            <w:tcW w:w="1418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2428,7</w:t>
            </w:r>
          </w:p>
        </w:tc>
        <w:tc>
          <w:tcPr>
            <w:tcW w:w="1275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2231,1</w:t>
            </w:r>
          </w:p>
        </w:tc>
        <w:tc>
          <w:tcPr>
            <w:tcW w:w="1070" w:type="dxa"/>
          </w:tcPr>
          <w:p w:rsidR="00885C12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589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-197,6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2277,2</w:t>
            </w:r>
          </w:p>
        </w:tc>
        <w:tc>
          <w:tcPr>
            <w:tcW w:w="1418" w:type="dxa"/>
          </w:tcPr>
          <w:p w:rsidR="00144DED" w:rsidRDefault="00885C12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4409,8</w:t>
            </w:r>
          </w:p>
        </w:tc>
        <w:tc>
          <w:tcPr>
            <w:tcW w:w="1275" w:type="dxa"/>
          </w:tcPr>
          <w:p w:rsidR="00B466AE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070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130,3</w:t>
            </w:r>
          </w:p>
        </w:tc>
        <w:tc>
          <w:tcPr>
            <w:tcW w:w="1589" w:type="dxa"/>
          </w:tcPr>
          <w:p w:rsidR="00144DED" w:rsidRDefault="00885C12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885C12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418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7036,5</w:t>
            </w:r>
          </w:p>
        </w:tc>
        <w:tc>
          <w:tcPr>
            <w:tcW w:w="1275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6957,4</w:t>
            </w:r>
          </w:p>
        </w:tc>
        <w:tc>
          <w:tcPr>
            <w:tcW w:w="1070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589" w:type="dxa"/>
          </w:tcPr>
          <w:p w:rsidR="00144DED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-79,1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67AD5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-198,0</w:t>
            </w:r>
          </w:p>
        </w:tc>
        <w:tc>
          <w:tcPr>
            <w:tcW w:w="1275" w:type="dxa"/>
          </w:tcPr>
          <w:p w:rsidR="00867AD5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-296,5</w:t>
            </w:r>
          </w:p>
        </w:tc>
        <w:tc>
          <w:tcPr>
            <w:tcW w:w="1070" w:type="dxa"/>
          </w:tcPr>
          <w:p w:rsidR="00867AD5" w:rsidRDefault="009D4480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149,7</w:t>
            </w:r>
          </w:p>
        </w:tc>
        <w:tc>
          <w:tcPr>
            <w:tcW w:w="1589" w:type="dxa"/>
          </w:tcPr>
          <w:p w:rsidR="00867AD5" w:rsidRDefault="00885C1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215168">
        <w:rPr>
          <w:rFonts w:ascii="Times New Roman" w:hAnsi="Times New Roman" w:cs="Times New Roman"/>
          <w:sz w:val="28"/>
          <w:szCs w:val="28"/>
        </w:rPr>
        <w:t>2231,1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215168">
        <w:rPr>
          <w:rFonts w:ascii="Times New Roman" w:hAnsi="Times New Roman" w:cs="Times New Roman"/>
          <w:sz w:val="28"/>
          <w:szCs w:val="28"/>
        </w:rPr>
        <w:t xml:space="preserve">4429,7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21516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21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2373,5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2428,7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2231,1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-197,6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099" w:type="dxa"/>
          </w:tcPr>
          <w:p w:rsidR="00C80913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2324,5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2354,9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2167,6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-187,3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99" w:type="dxa"/>
          </w:tcPr>
          <w:p w:rsidR="00C80913" w:rsidRPr="00E536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62C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-119,7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99" w:type="dxa"/>
          </w:tcPr>
          <w:p w:rsidR="00C80913" w:rsidRPr="008B2E2C" w:rsidRDefault="00E5362C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1800,6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-58,4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-10,3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099" w:type="dxa"/>
          </w:tcPr>
          <w:p w:rsidR="00C80913" w:rsidRPr="00270A9D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Административные штрафы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2277,2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4409,8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4429,7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99" w:type="dxa"/>
          </w:tcPr>
          <w:p w:rsidR="00C80913" w:rsidRPr="00270A9D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</w:tcPr>
          <w:p w:rsidR="00C80913" w:rsidRPr="00CD69C2" w:rsidRDefault="006B420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40EB" w:rsidTr="00E23417">
        <w:tc>
          <w:tcPr>
            <w:tcW w:w="2235" w:type="dxa"/>
          </w:tcPr>
          <w:p w:rsidR="001240EB" w:rsidRPr="00B044B5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1240EB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40EB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1552,8</w:t>
            </w:r>
          </w:p>
        </w:tc>
        <w:tc>
          <w:tcPr>
            <w:tcW w:w="1134" w:type="dxa"/>
          </w:tcPr>
          <w:p w:rsidR="001240EB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1552,8</w:t>
            </w:r>
          </w:p>
        </w:tc>
        <w:tc>
          <w:tcPr>
            <w:tcW w:w="1559" w:type="dxa"/>
          </w:tcPr>
          <w:p w:rsidR="001240EB" w:rsidRPr="00CD69C2" w:rsidRDefault="00671F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EB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240EB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34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559" w:type="dxa"/>
          </w:tcPr>
          <w:p w:rsidR="00C80913" w:rsidRPr="00CD69C2" w:rsidRDefault="00671F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  <w:tc>
          <w:tcPr>
            <w:tcW w:w="1134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  <w:tc>
          <w:tcPr>
            <w:tcW w:w="1134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1976,6</w:t>
            </w:r>
          </w:p>
        </w:tc>
        <w:tc>
          <w:tcPr>
            <w:tcW w:w="1559" w:type="dxa"/>
          </w:tcPr>
          <w:p w:rsidR="00C80913" w:rsidRPr="00CD69C2" w:rsidRDefault="00671F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F912E9" w:rsidTr="00E23417">
        <w:tc>
          <w:tcPr>
            <w:tcW w:w="2235" w:type="dxa"/>
          </w:tcPr>
          <w:p w:rsidR="00F912E9" w:rsidRPr="00B044B5" w:rsidRDefault="00F912E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Безвозмездные поступления от негосударственных организаций в бюджеты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F912E9" w:rsidRDefault="00F912E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F912E9" w:rsidRDefault="00F912E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F912E9" w:rsidRDefault="00F912E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559" w:type="dxa"/>
          </w:tcPr>
          <w:p w:rsidR="00F912E9" w:rsidRDefault="006B05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912E9" w:rsidRDefault="00F912E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99" w:type="dxa"/>
          </w:tcPr>
          <w:p w:rsidR="00F912E9" w:rsidRDefault="006B05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912E9" w:rsidTr="00E23417">
        <w:tc>
          <w:tcPr>
            <w:tcW w:w="2235" w:type="dxa"/>
          </w:tcPr>
          <w:p w:rsidR="00F912E9" w:rsidRDefault="00F912E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Прочие безвозмездные перечисления в бюджеты </w:t>
            </w:r>
            <w:r w:rsidR="006B057D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134" w:type="dxa"/>
          </w:tcPr>
          <w:p w:rsidR="00F912E9" w:rsidRDefault="006B05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12E9" w:rsidRDefault="006B05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</w:tcPr>
          <w:p w:rsidR="00F912E9" w:rsidRDefault="006B05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559" w:type="dxa"/>
          </w:tcPr>
          <w:p w:rsidR="00F912E9" w:rsidRDefault="006B05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276" w:type="dxa"/>
          </w:tcPr>
          <w:p w:rsidR="00F912E9" w:rsidRDefault="006B05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099" w:type="dxa"/>
          </w:tcPr>
          <w:p w:rsidR="00F912E9" w:rsidRDefault="006B057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ED1CD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1134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6838,5</w:t>
            </w:r>
          </w:p>
        </w:tc>
        <w:tc>
          <w:tcPr>
            <w:tcW w:w="1134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6660,9</w:t>
            </w:r>
          </w:p>
        </w:tc>
        <w:tc>
          <w:tcPr>
            <w:tcW w:w="1559" w:type="dxa"/>
          </w:tcPr>
          <w:p w:rsidR="00C80913" w:rsidRPr="00CD69C2" w:rsidRDefault="00671F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-177,6</w:t>
            </w:r>
          </w:p>
        </w:tc>
        <w:tc>
          <w:tcPr>
            <w:tcW w:w="1276" w:type="dxa"/>
          </w:tcPr>
          <w:p w:rsidR="00C80913" w:rsidRPr="00CD69C2" w:rsidRDefault="00680BA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99" w:type="dxa"/>
          </w:tcPr>
          <w:p w:rsidR="00C80913" w:rsidRPr="008B2E2C" w:rsidRDefault="00E5362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Pr="00FD53EE" w:rsidRDefault="00796CD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285,5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70,4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405,2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B607C8">
        <w:rPr>
          <w:rFonts w:ascii="Times New Roman" w:hAnsi="Times New Roman" w:cs="Times New Roman"/>
          <w:color w:val="000000"/>
          <w:sz w:val="28"/>
          <w:szCs w:val="28"/>
        </w:rPr>
        <w:t>1800,6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B607C8">
        <w:rPr>
          <w:rFonts w:ascii="Times New Roman" w:hAnsi="Times New Roman" w:cs="Times New Roman"/>
          <w:color w:val="000000"/>
          <w:sz w:val="28"/>
          <w:szCs w:val="28"/>
        </w:rPr>
        <w:t>1859,0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B607C8">
        <w:rPr>
          <w:rFonts w:ascii="Times New Roman" w:hAnsi="Times New Roman" w:cs="Times New Roman"/>
          <w:color w:val="000000"/>
          <w:sz w:val="28"/>
          <w:szCs w:val="28"/>
        </w:rPr>
        <w:t>96,8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B607C8">
        <w:rPr>
          <w:rFonts w:ascii="Times New Roman" w:hAnsi="Times New Roman" w:cs="Times New Roman"/>
          <w:color w:val="000000"/>
          <w:sz w:val="28"/>
          <w:szCs w:val="28"/>
        </w:rPr>
        <w:t>75,2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B607C8">
        <w:rPr>
          <w:rFonts w:ascii="Times New Roman" w:hAnsi="Times New Roman" w:cs="Times New Roman"/>
          <w:color w:val="000000"/>
          <w:sz w:val="28"/>
          <w:szCs w:val="28"/>
        </w:rPr>
        <w:t>99,3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 w:rsidR="00B607C8">
        <w:rPr>
          <w:rFonts w:ascii="Times New Roman" w:hAnsi="Times New Roman" w:cs="Times New Roman"/>
          <w:color w:val="000000"/>
          <w:sz w:val="28"/>
          <w:szCs w:val="28"/>
        </w:rPr>
        <w:t>75,7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B607C8">
        <w:rPr>
          <w:rFonts w:ascii="Times New Roman" w:hAnsi="Times New Roman" w:cs="Times New Roman"/>
          <w:color w:val="000000"/>
          <w:sz w:val="28"/>
          <w:szCs w:val="28"/>
        </w:rPr>
        <w:t>6,3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 или</w:t>
      </w:r>
    </w:p>
    <w:p w:rsidR="00FD53EE" w:rsidRPr="00FD53EE" w:rsidRDefault="00B607C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при запланированной сумме 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15,0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>налог на имущество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>27,0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 xml:space="preserve">1800,6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>доходы физических лиц 4,3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>285,5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>4429,7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>4409,8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>98,0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F912E9">
        <w:rPr>
          <w:rFonts w:ascii="Times New Roman" w:hAnsi="Times New Roman" w:cs="Times New Roman"/>
          <w:color w:val="0D0D0D"/>
          <w:sz w:val="28"/>
          <w:szCs w:val="28"/>
        </w:rPr>
        <w:t>1,5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912E9" w:rsidRDefault="00FD53EE" w:rsidP="00F91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</w:p>
    <w:p w:rsidR="00FD53EE" w:rsidRDefault="00F912E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227,3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100%.</w:t>
      </w:r>
    </w:p>
    <w:p w:rsidR="00F912E9" w:rsidRPr="00F912E9" w:rsidRDefault="00F912E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912E9">
        <w:rPr>
          <w:rFonts w:ascii="Times New Roman" w:hAnsi="Times New Roman" w:cs="Times New Roman"/>
          <w:i/>
          <w:color w:val="0D0D0D"/>
          <w:sz w:val="28"/>
          <w:szCs w:val="28"/>
        </w:rPr>
        <w:t>Субсидии бюджетам бюджетной системы РФ</w:t>
      </w:r>
      <w:r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исполнены в объеме 1552,8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уб. или 100%.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>1976,6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 xml:space="preserve">й и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имеют целевое назначение, исполнены в объеме 100% и переданы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F912E9" w:rsidRDefault="00F912E9" w:rsidP="00F91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493">
        <w:rPr>
          <w:rFonts w:ascii="Times New Roman" w:hAnsi="Times New Roman" w:cs="Times New Roman"/>
          <w:i/>
          <w:color w:val="000000"/>
          <w:sz w:val="28"/>
          <w:szCs w:val="28"/>
        </w:rPr>
        <w:t>Безвозмездные поступления от негосударственных организаций в бюджеты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составило </w:t>
      </w:r>
      <w:r w:rsidR="00F405DA">
        <w:rPr>
          <w:rFonts w:ascii="Times New Roman" w:hAnsi="Times New Roman" w:cs="Times New Roman"/>
          <w:color w:val="000000"/>
          <w:sz w:val="28"/>
          <w:szCs w:val="28"/>
        </w:rPr>
        <w:t>215,0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 или 1</w:t>
      </w:r>
      <w:r w:rsidR="00F405DA">
        <w:rPr>
          <w:rFonts w:ascii="Times New Roman" w:hAnsi="Times New Roman" w:cs="Times New Roman"/>
          <w:color w:val="000000"/>
          <w:sz w:val="28"/>
          <w:szCs w:val="28"/>
        </w:rPr>
        <w:t>30,3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912E9" w:rsidRPr="002E7493" w:rsidRDefault="00F912E9" w:rsidP="00F91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4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Прочие безвозмездные перечисления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составило </w:t>
      </w:r>
      <w:r w:rsidR="00F405DA">
        <w:rPr>
          <w:rFonts w:ascii="Times New Roman" w:hAnsi="Times New Roman" w:cs="Times New Roman"/>
          <w:color w:val="000000"/>
          <w:sz w:val="28"/>
          <w:szCs w:val="28"/>
        </w:rPr>
        <w:t>360,0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уб. при плановых назначениях </w:t>
      </w:r>
      <w:r w:rsidR="00F405DA">
        <w:rPr>
          <w:rFonts w:ascii="Times New Roman" w:hAnsi="Times New Roman" w:cs="Times New Roman"/>
          <w:color w:val="000000"/>
          <w:sz w:val="28"/>
          <w:szCs w:val="28"/>
        </w:rPr>
        <w:t>390,0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тыс.руб., исполнение составило </w:t>
      </w:r>
      <w:r w:rsidR="00F405DA">
        <w:rPr>
          <w:rFonts w:ascii="Times New Roman" w:hAnsi="Times New Roman" w:cs="Times New Roman"/>
          <w:color w:val="000000"/>
          <w:sz w:val="28"/>
          <w:szCs w:val="28"/>
        </w:rPr>
        <w:t>92,3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F405DA">
        <w:rPr>
          <w:rFonts w:ascii="Times New Roman" w:hAnsi="Times New Roman" w:cs="Times New Roman"/>
          <w:color w:val="0D0D0D"/>
          <w:sz w:val="28"/>
          <w:szCs w:val="28"/>
        </w:rPr>
        <w:t>66,5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F405DA">
        <w:rPr>
          <w:rFonts w:ascii="Times New Roman" w:hAnsi="Times New Roman" w:cs="Times New Roman"/>
          <w:color w:val="0D0D0D"/>
          <w:sz w:val="28"/>
          <w:szCs w:val="28"/>
        </w:rPr>
        <w:t>29,7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405DA">
        <w:rPr>
          <w:rFonts w:ascii="Times New Roman" w:hAnsi="Times New Roman" w:cs="Times New Roman"/>
          <w:color w:val="0D0D0D"/>
          <w:sz w:val="28"/>
          <w:szCs w:val="28"/>
        </w:rPr>
        <w:t>иные межбюджетные трансферты 1976,6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F405DA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F405DA">
        <w:rPr>
          <w:rFonts w:ascii="Times New Roman" w:hAnsi="Times New Roman" w:cs="Times New Roman"/>
          <w:color w:val="000000"/>
          <w:sz w:val="28"/>
          <w:szCs w:val="28"/>
        </w:rPr>
        <w:t>6660,9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F405DA">
        <w:rPr>
          <w:rFonts w:ascii="Times New Roman" w:hAnsi="Times New Roman" w:cs="Times New Roman"/>
          <w:color w:val="000000"/>
          <w:sz w:val="28"/>
          <w:szCs w:val="28"/>
        </w:rPr>
        <w:t>97,4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proofErr w:type="spellStart"/>
      <w:r w:rsidR="00157991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157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157991">
        <w:rPr>
          <w:rFonts w:ascii="Times New Roman" w:hAnsi="Times New Roman" w:cs="Times New Roman"/>
          <w:color w:val="000000"/>
          <w:sz w:val="28"/>
          <w:szCs w:val="28"/>
        </w:rPr>
        <w:t>7036,5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157991">
        <w:rPr>
          <w:rFonts w:ascii="Times New Roman" w:hAnsi="Times New Roman" w:cs="Times New Roman"/>
          <w:color w:val="000000"/>
          <w:sz w:val="28"/>
          <w:szCs w:val="28"/>
        </w:rPr>
        <w:t>6957,4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157991">
        <w:rPr>
          <w:rFonts w:ascii="Times New Roman" w:hAnsi="Times New Roman" w:cs="Times New Roman"/>
          <w:color w:val="000000"/>
          <w:sz w:val="28"/>
          <w:szCs w:val="28"/>
        </w:rPr>
        <w:t>98,8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157991">
        <w:rPr>
          <w:rFonts w:ascii="Times New Roman" w:hAnsi="Times New Roman" w:cs="Times New Roman"/>
          <w:color w:val="0D0D0D"/>
          <w:sz w:val="28"/>
          <w:szCs w:val="28"/>
        </w:rPr>
        <w:t>2385,8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157991">
        <w:rPr>
          <w:rFonts w:ascii="Times New Roman" w:hAnsi="Times New Roman" w:cs="Times New Roman"/>
          <w:color w:val="0D0D0D"/>
          <w:sz w:val="28"/>
          <w:szCs w:val="28"/>
        </w:rPr>
        <w:t>51,3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CD69C2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7036,5</w:t>
            </w:r>
          </w:p>
        </w:tc>
        <w:tc>
          <w:tcPr>
            <w:tcW w:w="993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6957,4</w:t>
            </w:r>
          </w:p>
        </w:tc>
        <w:tc>
          <w:tcPr>
            <w:tcW w:w="1134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-79,1</w:t>
            </w:r>
          </w:p>
        </w:tc>
        <w:tc>
          <w:tcPr>
            <w:tcW w:w="850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99" w:type="dxa"/>
          </w:tcPr>
          <w:p w:rsidR="007E22A7" w:rsidRPr="004B55D5" w:rsidRDefault="004B55D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D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2213,1</w:t>
            </w:r>
          </w:p>
        </w:tc>
        <w:tc>
          <w:tcPr>
            <w:tcW w:w="992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2365,5</w:t>
            </w:r>
          </w:p>
        </w:tc>
        <w:tc>
          <w:tcPr>
            <w:tcW w:w="993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2295,5</w:t>
            </w:r>
          </w:p>
        </w:tc>
        <w:tc>
          <w:tcPr>
            <w:tcW w:w="1134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-70,0</w:t>
            </w:r>
          </w:p>
        </w:tc>
        <w:tc>
          <w:tcPr>
            <w:tcW w:w="850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99" w:type="dxa"/>
          </w:tcPr>
          <w:p w:rsidR="007E22A7" w:rsidRPr="001506E0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E0">
              <w:rPr>
                <w:rFonts w:ascii="Times New Roman" w:hAnsi="Times New Roman" w:cs="Times New Roman"/>
                <w:b/>
                <w:sz w:val="28"/>
                <w:szCs w:val="28"/>
              </w:rPr>
              <w:t>33,0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992" w:type="dxa"/>
          </w:tcPr>
          <w:p w:rsidR="007E22A7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  <w:tc>
          <w:tcPr>
            <w:tcW w:w="993" w:type="dxa"/>
          </w:tcPr>
          <w:p w:rsidR="007E22A7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134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-42,0</w:t>
            </w:r>
          </w:p>
        </w:tc>
        <w:tc>
          <w:tcPr>
            <w:tcW w:w="850" w:type="dxa"/>
          </w:tcPr>
          <w:p w:rsidR="007E22A7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099" w:type="dxa"/>
          </w:tcPr>
          <w:p w:rsidR="007E22A7" w:rsidRPr="001506E0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E73793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Pr="001506E0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1343,4</w:t>
            </w:r>
          </w:p>
        </w:tc>
        <w:tc>
          <w:tcPr>
            <w:tcW w:w="992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1384,5</w:t>
            </w:r>
          </w:p>
        </w:tc>
        <w:tc>
          <w:tcPr>
            <w:tcW w:w="993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1357,8</w:t>
            </w:r>
          </w:p>
        </w:tc>
        <w:tc>
          <w:tcPr>
            <w:tcW w:w="1134" w:type="dxa"/>
          </w:tcPr>
          <w:p w:rsidR="00E73793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-26,7</w:t>
            </w:r>
          </w:p>
        </w:tc>
        <w:tc>
          <w:tcPr>
            <w:tcW w:w="850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99" w:type="dxa"/>
          </w:tcPr>
          <w:p w:rsidR="00E73793" w:rsidRPr="001506E0" w:rsidRDefault="00201AD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0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3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1134" w:type="dxa"/>
          </w:tcPr>
          <w:p w:rsidR="00E73793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850" w:type="dxa"/>
          </w:tcPr>
          <w:p w:rsidR="00E73793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99" w:type="dxa"/>
          </w:tcPr>
          <w:p w:rsidR="00E73793" w:rsidRPr="001506E0" w:rsidRDefault="00201AD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93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1506E0" w:rsidRDefault="00201AD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E0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  <w:tc>
          <w:tcPr>
            <w:tcW w:w="992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  <w:tc>
          <w:tcPr>
            <w:tcW w:w="993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1976,6</w:t>
            </w:r>
          </w:p>
        </w:tc>
        <w:tc>
          <w:tcPr>
            <w:tcW w:w="1134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850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7E22A7" w:rsidRPr="001506E0" w:rsidRDefault="00201AD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E0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2428,6</w:t>
            </w:r>
          </w:p>
        </w:tc>
        <w:tc>
          <w:tcPr>
            <w:tcW w:w="993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2419,6</w:t>
            </w:r>
          </w:p>
        </w:tc>
        <w:tc>
          <w:tcPr>
            <w:tcW w:w="1134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850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99" w:type="dxa"/>
          </w:tcPr>
          <w:p w:rsidR="007E22A7" w:rsidRPr="001506E0" w:rsidRDefault="00201ADE" w:rsidP="00150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E0"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1506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7991" w:rsidTr="00E73793">
        <w:tc>
          <w:tcPr>
            <w:tcW w:w="959" w:type="dxa"/>
          </w:tcPr>
          <w:p w:rsidR="00157991" w:rsidRPr="007E22A7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157991" w:rsidRPr="007E22A7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</w:tcPr>
          <w:p w:rsidR="00157991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57991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993" w:type="dxa"/>
          </w:tcPr>
          <w:p w:rsidR="00157991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1134" w:type="dxa"/>
          </w:tcPr>
          <w:p w:rsidR="00157991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7991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57991" w:rsidRPr="00644861" w:rsidRDefault="00201AD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57991" w:rsidTr="00E73793">
        <w:tc>
          <w:tcPr>
            <w:tcW w:w="959" w:type="dxa"/>
          </w:tcPr>
          <w:p w:rsidR="00157991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157991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157991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57991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1363,6</w:t>
            </w:r>
          </w:p>
        </w:tc>
        <w:tc>
          <w:tcPr>
            <w:tcW w:w="993" w:type="dxa"/>
          </w:tcPr>
          <w:p w:rsidR="00157991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1354,6</w:t>
            </w:r>
          </w:p>
        </w:tc>
        <w:tc>
          <w:tcPr>
            <w:tcW w:w="1134" w:type="dxa"/>
          </w:tcPr>
          <w:p w:rsidR="00157991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850" w:type="dxa"/>
          </w:tcPr>
          <w:p w:rsidR="00157991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99" w:type="dxa"/>
          </w:tcPr>
          <w:p w:rsidR="00157991" w:rsidRPr="00644861" w:rsidRDefault="00201AD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15799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026F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1506E0" w:rsidRDefault="00201AD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E0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4B55D5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2295,5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97,0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2365,5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расходы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33,0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4B55D5">
        <w:rPr>
          <w:rFonts w:ascii="Times New Roman" w:hAnsi="Times New Roman" w:cs="Times New Roman"/>
          <w:color w:val="000000"/>
          <w:sz w:val="28"/>
          <w:szCs w:val="28"/>
        </w:rPr>
        <w:t>784,8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4B55D5">
        <w:rPr>
          <w:rFonts w:ascii="Times New Roman" w:hAnsi="Times New Roman" w:cs="Times New Roman"/>
          <w:color w:val="000000"/>
          <w:sz w:val="28"/>
          <w:szCs w:val="28"/>
        </w:rPr>
        <w:t>94,9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4B55D5">
        <w:rPr>
          <w:rFonts w:ascii="Times New Roman" w:hAnsi="Times New Roman" w:cs="Times New Roman"/>
          <w:color w:val="000000"/>
          <w:sz w:val="28"/>
          <w:szCs w:val="28"/>
        </w:rPr>
        <w:t>826,8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4B55D5">
        <w:rPr>
          <w:rFonts w:ascii="Times New Roman" w:hAnsi="Times New Roman" w:cs="Times New Roman"/>
          <w:color w:val="000000"/>
          <w:sz w:val="28"/>
          <w:szCs w:val="28"/>
        </w:rPr>
        <w:t>11,3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9B0D2C">
        <w:rPr>
          <w:rFonts w:ascii="Times New Roman" w:hAnsi="Times New Roman" w:cs="Times New Roman"/>
          <w:sz w:val="28"/>
          <w:szCs w:val="28"/>
        </w:rPr>
        <w:t>1,</w:t>
      </w:r>
      <w:r w:rsidR="004B55D5">
        <w:rPr>
          <w:rFonts w:ascii="Times New Roman" w:hAnsi="Times New Roman" w:cs="Times New Roman"/>
          <w:sz w:val="28"/>
          <w:szCs w:val="28"/>
        </w:rPr>
        <w:t>8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100%.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4B55D5">
        <w:rPr>
          <w:rFonts w:ascii="Times New Roman" w:hAnsi="Times New Roman" w:cs="Times New Roman"/>
          <w:sz w:val="28"/>
          <w:szCs w:val="28"/>
        </w:rPr>
        <w:t>1384,5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B55D5">
        <w:rPr>
          <w:rFonts w:ascii="Times New Roman" w:hAnsi="Times New Roman" w:cs="Times New Roman"/>
          <w:sz w:val="28"/>
          <w:szCs w:val="28"/>
        </w:rPr>
        <w:t>1357,8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4B55D5">
        <w:rPr>
          <w:rFonts w:ascii="Times New Roman" w:hAnsi="Times New Roman" w:cs="Times New Roman"/>
          <w:sz w:val="28"/>
          <w:szCs w:val="28"/>
        </w:rPr>
        <w:t>98,0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="004B55D5">
        <w:rPr>
          <w:rFonts w:ascii="Times New Roman" w:hAnsi="Times New Roman" w:cs="Times New Roman"/>
          <w:sz w:val="28"/>
          <w:szCs w:val="28"/>
        </w:rPr>
        <w:t>составило 151,1 тыс</w:t>
      </w:r>
      <w:proofErr w:type="gramStart"/>
      <w:r w:rsidR="004B55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55D5">
        <w:rPr>
          <w:rFonts w:ascii="Times New Roman" w:hAnsi="Times New Roman" w:cs="Times New Roman"/>
          <w:sz w:val="28"/>
          <w:szCs w:val="28"/>
        </w:rPr>
        <w:t xml:space="preserve">уб.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4B55D5">
        <w:rPr>
          <w:rFonts w:ascii="Times New Roman" w:hAnsi="Times New Roman" w:cs="Times New Roman"/>
          <w:sz w:val="28"/>
          <w:szCs w:val="28"/>
        </w:rPr>
        <w:t>152,4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B55D5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4B55D5">
        <w:rPr>
          <w:rFonts w:ascii="Times New Roman" w:hAnsi="Times New Roman" w:cs="Times New Roman"/>
          <w:sz w:val="28"/>
          <w:szCs w:val="28"/>
        </w:rPr>
        <w:t>227,3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4B55D5">
        <w:rPr>
          <w:rFonts w:ascii="Times New Roman" w:hAnsi="Times New Roman" w:cs="Times New Roman"/>
          <w:sz w:val="28"/>
          <w:szCs w:val="28"/>
        </w:rPr>
        <w:t>98,1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Раздел «национальная экономика» предусматривает реализацию двух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подразделов: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C303B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303B1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 xml:space="preserve">МО </w:t>
      </w:r>
      <w:r w:rsidR="00C303B1">
        <w:rPr>
          <w:rFonts w:ascii="Times New Roman" w:hAnsi="Times New Roman" w:cs="Times New Roman"/>
          <w:sz w:val="28"/>
          <w:szCs w:val="28"/>
        </w:rPr>
        <w:t xml:space="preserve">до </w:t>
      </w:r>
      <w:r w:rsidR="006C4B63">
        <w:rPr>
          <w:rFonts w:ascii="Times New Roman" w:hAnsi="Times New Roman" w:cs="Times New Roman"/>
          <w:sz w:val="28"/>
          <w:szCs w:val="28"/>
        </w:rPr>
        <w:t>202</w:t>
      </w:r>
      <w:r w:rsidR="00C303B1">
        <w:rPr>
          <w:rFonts w:ascii="Times New Roman" w:hAnsi="Times New Roman" w:cs="Times New Roman"/>
          <w:sz w:val="28"/>
          <w:szCs w:val="28"/>
        </w:rPr>
        <w:t>1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303B1">
        <w:rPr>
          <w:rFonts w:ascii="Times New Roman" w:hAnsi="Times New Roman" w:cs="Times New Roman"/>
          <w:sz w:val="28"/>
          <w:szCs w:val="28"/>
        </w:rPr>
        <w:t>1976,7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C303B1">
        <w:rPr>
          <w:rFonts w:ascii="Times New Roman" w:hAnsi="Times New Roman" w:cs="Times New Roman"/>
          <w:sz w:val="28"/>
          <w:szCs w:val="28"/>
        </w:rPr>
        <w:t>1976,6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99,9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65779C">
        <w:rPr>
          <w:sz w:val="28"/>
          <w:szCs w:val="28"/>
        </w:rPr>
        <w:t>1065,0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65779C">
        <w:rPr>
          <w:sz w:val="28"/>
          <w:szCs w:val="28"/>
        </w:rPr>
        <w:t>100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EA7588">
        <w:rPr>
          <w:sz w:val="28"/>
          <w:szCs w:val="28"/>
        </w:rPr>
        <w:t>2</w:t>
      </w:r>
      <w:r w:rsidR="0065779C">
        <w:rPr>
          <w:sz w:val="28"/>
          <w:szCs w:val="28"/>
        </w:rPr>
        <w:t>1354,6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EA7588">
        <w:rPr>
          <w:sz w:val="28"/>
          <w:szCs w:val="28"/>
        </w:rPr>
        <w:t>9</w:t>
      </w:r>
      <w:r w:rsidR="0065779C">
        <w:rPr>
          <w:sz w:val="28"/>
          <w:szCs w:val="28"/>
        </w:rPr>
        <w:t>9,3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lastRenderedPageBreak/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65779C">
        <w:rPr>
          <w:sz w:val="28"/>
          <w:szCs w:val="28"/>
        </w:rPr>
        <w:t>38,4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691CD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91CDB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691CDB">
        <w:rPr>
          <w:rFonts w:ascii="Times New Roman" w:hAnsi="Times New Roman" w:cs="Times New Roman"/>
          <w:sz w:val="28"/>
          <w:szCs w:val="28"/>
        </w:rPr>
        <w:t>шесть муниципальных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 xml:space="preserve">. В 2020г. запланировано  </w:t>
      </w:r>
      <w:r w:rsidR="00691CDB">
        <w:rPr>
          <w:rFonts w:ascii="Times New Roman" w:hAnsi="Times New Roman" w:cs="Times New Roman"/>
          <w:sz w:val="28"/>
          <w:szCs w:val="28"/>
        </w:rPr>
        <w:t>4596,1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691CDB">
        <w:rPr>
          <w:rFonts w:ascii="Times New Roman" w:hAnsi="Times New Roman" w:cs="Times New Roman"/>
          <w:sz w:val="28"/>
          <w:szCs w:val="28"/>
        </w:rPr>
        <w:t>4585,7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691CDB">
        <w:rPr>
          <w:rFonts w:ascii="Times New Roman" w:hAnsi="Times New Roman" w:cs="Times New Roman"/>
          <w:sz w:val="28"/>
          <w:szCs w:val="28"/>
        </w:rPr>
        <w:t>99,7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760C6D">
        <w:rPr>
          <w:rFonts w:ascii="Times New Roman" w:hAnsi="Times New Roman" w:cs="Times New Roman"/>
          <w:sz w:val="28"/>
          <w:szCs w:val="28"/>
        </w:rPr>
        <w:t>на</w:t>
      </w:r>
      <w:r w:rsidR="00BC0290">
        <w:rPr>
          <w:rFonts w:ascii="Times New Roman" w:hAnsi="Times New Roman" w:cs="Times New Roman"/>
          <w:sz w:val="28"/>
          <w:szCs w:val="28"/>
        </w:rPr>
        <w:t xml:space="preserve"> 20</w:t>
      </w:r>
      <w:r w:rsidR="00760C6D">
        <w:rPr>
          <w:rFonts w:ascii="Times New Roman" w:hAnsi="Times New Roman" w:cs="Times New Roman"/>
          <w:sz w:val="28"/>
          <w:szCs w:val="28"/>
        </w:rPr>
        <w:t>17-2021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760C6D">
        <w:rPr>
          <w:rFonts w:ascii="Times New Roman" w:hAnsi="Times New Roman" w:cs="Times New Roman"/>
          <w:sz w:val="28"/>
          <w:szCs w:val="28"/>
        </w:rPr>
        <w:t>1065,0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60C6D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760C6D"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0C6D">
        <w:rPr>
          <w:rFonts w:ascii="Times New Roman" w:hAnsi="Times New Roman" w:cs="Times New Roman"/>
          <w:sz w:val="28"/>
          <w:szCs w:val="28"/>
        </w:rPr>
        <w:t xml:space="preserve">до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760C6D">
        <w:rPr>
          <w:rFonts w:ascii="Times New Roman" w:hAnsi="Times New Roman" w:cs="Times New Roman"/>
          <w:sz w:val="28"/>
          <w:szCs w:val="28"/>
        </w:rPr>
        <w:t>1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60C6D">
        <w:rPr>
          <w:rFonts w:ascii="Times New Roman" w:hAnsi="Times New Roman" w:cs="Times New Roman"/>
          <w:sz w:val="28"/>
          <w:szCs w:val="28"/>
        </w:rPr>
        <w:t>1976,6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BC0290">
        <w:rPr>
          <w:rFonts w:ascii="Times New Roman" w:hAnsi="Times New Roman" w:cs="Times New Roman"/>
          <w:sz w:val="28"/>
          <w:szCs w:val="28"/>
        </w:rPr>
        <w:t>99,9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760C6D">
        <w:rPr>
          <w:rFonts w:ascii="Times New Roman" w:hAnsi="Times New Roman" w:cs="Times New Roman"/>
          <w:sz w:val="28"/>
          <w:szCs w:val="28"/>
        </w:rPr>
        <w:t>на 2019-2021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60C6D">
        <w:rPr>
          <w:rFonts w:ascii="Times New Roman" w:hAnsi="Times New Roman" w:cs="Times New Roman"/>
          <w:sz w:val="28"/>
          <w:szCs w:val="28"/>
        </w:rPr>
        <w:t>192,2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760C6D">
        <w:rPr>
          <w:rFonts w:ascii="Times New Roman" w:hAnsi="Times New Roman" w:cs="Times New Roman"/>
          <w:sz w:val="28"/>
          <w:szCs w:val="28"/>
        </w:rPr>
        <w:t>95,3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 w:rsidR="00FE7A4A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E7A4A">
        <w:rPr>
          <w:rFonts w:ascii="Times New Roman" w:hAnsi="Times New Roman" w:cs="Times New Roman"/>
          <w:sz w:val="28"/>
          <w:szCs w:val="28"/>
        </w:rPr>
        <w:t>38,4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474866" w:rsidRDefault="00474866" w:rsidP="0047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на 2020-2025г.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1171,4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474866" w:rsidRDefault="00474866" w:rsidP="0047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Развитие муниципального управления муниципального образования до 2025г.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152,4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151,1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или 99,1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474866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751CD2">
        <w:rPr>
          <w:rFonts w:ascii="Times New Roman" w:hAnsi="Times New Roman" w:cs="Times New Roman"/>
          <w:sz w:val="28"/>
          <w:szCs w:val="28"/>
        </w:rPr>
        <w:t>в</w:t>
      </w:r>
      <w:r w:rsidR="00474866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7486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48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EE372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="00EE3722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E3722">
        <w:rPr>
          <w:rFonts w:ascii="Times New Roman" w:hAnsi="Times New Roman" w:cs="Times New Roman"/>
          <w:sz w:val="28"/>
          <w:szCs w:val="28"/>
        </w:rPr>
        <w:t>27-67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EE372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EE372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-198,0</w:t>
            </w:r>
          </w:p>
        </w:tc>
        <w:tc>
          <w:tcPr>
            <w:tcW w:w="1808" w:type="dxa"/>
          </w:tcPr>
          <w:p w:rsidR="00D6136E" w:rsidRDefault="00EE372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-296,5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EE372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843" w:type="dxa"/>
          </w:tcPr>
          <w:p w:rsidR="00D6136E" w:rsidRDefault="00EE372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-6838,5</w:t>
            </w:r>
          </w:p>
        </w:tc>
        <w:tc>
          <w:tcPr>
            <w:tcW w:w="1808" w:type="dxa"/>
          </w:tcPr>
          <w:p w:rsidR="00D6136E" w:rsidRDefault="00EE372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-6660,9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lastRenderedPageBreak/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EE372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843" w:type="dxa"/>
          </w:tcPr>
          <w:p w:rsidR="00D6136E" w:rsidRDefault="00EE372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7036,5</w:t>
            </w:r>
          </w:p>
        </w:tc>
        <w:tc>
          <w:tcPr>
            <w:tcW w:w="1808" w:type="dxa"/>
          </w:tcPr>
          <w:p w:rsidR="00D6136E" w:rsidRDefault="00EE372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6957,4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бюджет </w:t>
      </w:r>
      <w:proofErr w:type="spellStart"/>
      <w:r w:rsidR="00CF144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образования исполнен с дефицитом в объеме -</w:t>
      </w:r>
      <w:r w:rsidR="00CF1444">
        <w:rPr>
          <w:rFonts w:ascii="Times New Roman" w:hAnsi="Times New Roman" w:cs="Times New Roman"/>
          <w:sz w:val="28"/>
          <w:szCs w:val="28"/>
        </w:rPr>
        <w:t>296,5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444">
        <w:rPr>
          <w:rFonts w:ascii="Times New Roman" w:hAnsi="Times New Roman" w:cs="Times New Roman"/>
          <w:color w:val="000000"/>
          <w:sz w:val="28"/>
          <w:szCs w:val="28"/>
        </w:rPr>
        <w:t>6660,9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CF1444">
        <w:rPr>
          <w:rFonts w:ascii="Times New Roman" w:hAnsi="Times New Roman" w:cs="Times New Roman"/>
          <w:color w:val="000000"/>
          <w:sz w:val="28"/>
          <w:szCs w:val="28"/>
        </w:rPr>
        <w:t>6838,5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444">
        <w:rPr>
          <w:rFonts w:ascii="Times New Roman" w:hAnsi="Times New Roman" w:cs="Times New Roman"/>
          <w:color w:val="000000"/>
          <w:sz w:val="28"/>
          <w:szCs w:val="28"/>
        </w:rPr>
        <w:t>6957,4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CF1444">
        <w:rPr>
          <w:rFonts w:ascii="Times New Roman" w:hAnsi="Times New Roman" w:cs="Times New Roman"/>
          <w:color w:val="000000"/>
          <w:sz w:val="28"/>
          <w:szCs w:val="28"/>
        </w:rPr>
        <w:t>7036,5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Разница данных показателей дает отрицательную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получаем дефицит бюджета в сумме -</w:t>
      </w:r>
      <w:r w:rsidR="00C61452">
        <w:rPr>
          <w:rFonts w:ascii="Times New Roman" w:hAnsi="Times New Roman" w:cs="Times New Roman"/>
          <w:color w:val="000000"/>
          <w:sz w:val="28"/>
          <w:szCs w:val="28"/>
        </w:rPr>
        <w:t>296,5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Сумма остатков средств на счетах по учету средств является внутренним источником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дефицита бюджета и покрывает дефицит бюджета в полном объеме.</w:t>
      </w:r>
    </w:p>
    <w:p w:rsidR="00BA796F" w:rsidRPr="00384ADE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Внесенные изменения в бюджет муниципального образования принимались без проведения экспертизы Контрольно-счетной комиссии, также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не предоставлялись на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C9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proofErr w:type="spellStart"/>
      <w:r w:rsidR="00C61452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C61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3C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бюджета </w:t>
      </w:r>
      <w:proofErr w:type="spellStart"/>
      <w:r w:rsidR="00C61452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соответствует </w:t>
      </w:r>
      <w:r w:rsidR="003C7FD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esktop\2021-04-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4-21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076C1"/>
    <w:rsid w:val="0002296A"/>
    <w:rsid w:val="00024FDE"/>
    <w:rsid w:val="00026FA3"/>
    <w:rsid w:val="000302F4"/>
    <w:rsid w:val="000945D4"/>
    <w:rsid w:val="00095EC5"/>
    <w:rsid w:val="000B51E3"/>
    <w:rsid w:val="000E09A1"/>
    <w:rsid w:val="000E1780"/>
    <w:rsid w:val="000E5469"/>
    <w:rsid w:val="000F1986"/>
    <w:rsid w:val="001034DD"/>
    <w:rsid w:val="001132E1"/>
    <w:rsid w:val="001240EB"/>
    <w:rsid w:val="00126772"/>
    <w:rsid w:val="00144DED"/>
    <w:rsid w:val="001506E0"/>
    <w:rsid w:val="00157991"/>
    <w:rsid w:val="00165019"/>
    <w:rsid w:val="001A7984"/>
    <w:rsid w:val="001C117D"/>
    <w:rsid w:val="001C494D"/>
    <w:rsid w:val="001D7E82"/>
    <w:rsid w:val="00201ADE"/>
    <w:rsid w:val="0020545B"/>
    <w:rsid w:val="00215168"/>
    <w:rsid w:val="00215A0C"/>
    <w:rsid w:val="00241C50"/>
    <w:rsid w:val="0026131C"/>
    <w:rsid w:val="00270A9D"/>
    <w:rsid w:val="002961D8"/>
    <w:rsid w:val="002C6B75"/>
    <w:rsid w:val="002F0018"/>
    <w:rsid w:val="002F7917"/>
    <w:rsid w:val="00306A0C"/>
    <w:rsid w:val="00320070"/>
    <w:rsid w:val="003311DB"/>
    <w:rsid w:val="00341B40"/>
    <w:rsid w:val="00362662"/>
    <w:rsid w:val="003A1890"/>
    <w:rsid w:val="003B3796"/>
    <w:rsid w:val="003C7FDF"/>
    <w:rsid w:val="003E56B7"/>
    <w:rsid w:val="00446F1A"/>
    <w:rsid w:val="00473141"/>
    <w:rsid w:val="00474866"/>
    <w:rsid w:val="004B55D5"/>
    <w:rsid w:val="005323D9"/>
    <w:rsid w:val="00584035"/>
    <w:rsid w:val="00594105"/>
    <w:rsid w:val="0059726A"/>
    <w:rsid w:val="005B4C70"/>
    <w:rsid w:val="005B7329"/>
    <w:rsid w:val="005B7F81"/>
    <w:rsid w:val="005C0979"/>
    <w:rsid w:val="005E7666"/>
    <w:rsid w:val="006108C8"/>
    <w:rsid w:val="0061739C"/>
    <w:rsid w:val="00644861"/>
    <w:rsid w:val="00644A18"/>
    <w:rsid w:val="0065610C"/>
    <w:rsid w:val="0065779C"/>
    <w:rsid w:val="00671FF9"/>
    <w:rsid w:val="00680BA4"/>
    <w:rsid w:val="00683D34"/>
    <w:rsid w:val="00691CDB"/>
    <w:rsid w:val="006960A4"/>
    <w:rsid w:val="006B057D"/>
    <w:rsid w:val="006B420C"/>
    <w:rsid w:val="006C4B63"/>
    <w:rsid w:val="006E3E62"/>
    <w:rsid w:val="006E5917"/>
    <w:rsid w:val="007029CD"/>
    <w:rsid w:val="00714427"/>
    <w:rsid w:val="00743512"/>
    <w:rsid w:val="007442FE"/>
    <w:rsid w:val="00751CD2"/>
    <w:rsid w:val="00760C6D"/>
    <w:rsid w:val="00796CD6"/>
    <w:rsid w:val="007C4DCF"/>
    <w:rsid w:val="007E22A7"/>
    <w:rsid w:val="00811AC0"/>
    <w:rsid w:val="00867AD5"/>
    <w:rsid w:val="00885C12"/>
    <w:rsid w:val="008864C9"/>
    <w:rsid w:val="008B2E2C"/>
    <w:rsid w:val="008B470D"/>
    <w:rsid w:val="008E6C24"/>
    <w:rsid w:val="009125C3"/>
    <w:rsid w:val="009247B2"/>
    <w:rsid w:val="00931B03"/>
    <w:rsid w:val="009A248B"/>
    <w:rsid w:val="009B0D2C"/>
    <w:rsid w:val="009C4B1E"/>
    <w:rsid w:val="009D4480"/>
    <w:rsid w:val="009F102F"/>
    <w:rsid w:val="00A00C38"/>
    <w:rsid w:val="00A06BC7"/>
    <w:rsid w:val="00A10E26"/>
    <w:rsid w:val="00A66627"/>
    <w:rsid w:val="00A71D23"/>
    <w:rsid w:val="00AB19A4"/>
    <w:rsid w:val="00AD3D96"/>
    <w:rsid w:val="00AD5EB2"/>
    <w:rsid w:val="00AD5F5D"/>
    <w:rsid w:val="00AE2F5B"/>
    <w:rsid w:val="00AF39F5"/>
    <w:rsid w:val="00B0022F"/>
    <w:rsid w:val="00B044B5"/>
    <w:rsid w:val="00B151E0"/>
    <w:rsid w:val="00B228B2"/>
    <w:rsid w:val="00B22B23"/>
    <w:rsid w:val="00B41E57"/>
    <w:rsid w:val="00B46460"/>
    <w:rsid w:val="00B466AE"/>
    <w:rsid w:val="00B607C8"/>
    <w:rsid w:val="00BA796F"/>
    <w:rsid w:val="00BB48B7"/>
    <w:rsid w:val="00BC0290"/>
    <w:rsid w:val="00BC5F28"/>
    <w:rsid w:val="00C02579"/>
    <w:rsid w:val="00C303B1"/>
    <w:rsid w:val="00C31EDD"/>
    <w:rsid w:val="00C40E39"/>
    <w:rsid w:val="00C61452"/>
    <w:rsid w:val="00C64764"/>
    <w:rsid w:val="00C80913"/>
    <w:rsid w:val="00CA2B58"/>
    <w:rsid w:val="00CB7D9D"/>
    <w:rsid w:val="00CD69C2"/>
    <w:rsid w:val="00CF1444"/>
    <w:rsid w:val="00D32B3B"/>
    <w:rsid w:val="00D6136E"/>
    <w:rsid w:val="00D67AC2"/>
    <w:rsid w:val="00DB68EA"/>
    <w:rsid w:val="00DC1A7E"/>
    <w:rsid w:val="00DC6941"/>
    <w:rsid w:val="00E16128"/>
    <w:rsid w:val="00E23417"/>
    <w:rsid w:val="00E525E4"/>
    <w:rsid w:val="00E5362C"/>
    <w:rsid w:val="00E73793"/>
    <w:rsid w:val="00EA7588"/>
    <w:rsid w:val="00EB0DC5"/>
    <w:rsid w:val="00EC4C8A"/>
    <w:rsid w:val="00ED164F"/>
    <w:rsid w:val="00ED1CDA"/>
    <w:rsid w:val="00EE354E"/>
    <w:rsid w:val="00EE3722"/>
    <w:rsid w:val="00EF0E6B"/>
    <w:rsid w:val="00F1164D"/>
    <w:rsid w:val="00F35D38"/>
    <w:rsid w:val="00F405DA"/>
    <w:rsid w:val="00F825AB"/>
    <w:rsid w:val="00F83601"/>
    <w:rsid w:val="00F87F9E"/>
    <w:rsid w:val="00F912E9"/>
    <w:rsid w:val="00F9558D"/>
    <w:rsid w:val="00FC36CB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614-E01C-4E4C-90A0-9DDB0E4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2021-04-21T06:15:00Z</dcterms:created>
  <dcterms:modified xsi:type="dcterms:W3CDTF">2021-04-21T06:15:00Z</dcterms:modified>
</cp:coreProperties>
</file>