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623215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A84547">
        <w:rPr>
          <w:sz w:val="28"/>
          <w:szCs w:val="28"/>
        </w:rPr>
        <w:t>60/1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580CB9">
        <w:rPr>
          <w:sz w:val="28"/>
          <w:szCs w:val="28"/>
        </w:rPr>
        <w:t>05сентября</w:t>
      </w:r>
      <w:r w:rsidR="005D6C2D">
        <w:rPr>
          <w:sz w:val="28"/>
          <w:szCs w:val="28"/>
        </w:rPr>
        <w:t xml:space="preserve"> 2019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>№ 38 от 12.11.2018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580CB9">
        <w:rPr>
          <w:sz w:val="28"/>
          <w:szCs w:val="28"/>
        </w:rPr>
        <w:t>05.09.2019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580CB9">
        <w:rPr>
          <w:sz w:val="28"/>
          <w:szCs w:val="28"/>
        </w:rPr>
        <w:t>65-166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2019 год», администрация Декабристского муниципального образования</w:t>
      </w: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5B67F4" w:rsidRDefault="005270F9" w:rsidP="005D6C2D">
      <w:pPr>
        <w:pStyle w:val="a6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5D6C2D">
        <w:rPr>
          <w:color w:val="2D2D2D"/>
          <w:spacing w:val="2"/>
          <w:sz w:val="28"/>
          <w:szCs w:val="28"/>
        </w:rPr>
        <w:t>Внести изменения в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5D6C2D" w:rsidRPr="00694E5F">
          <w:rPr>
            <w:sz w:val="28"/>
            <w:szCs w:val="28"/>
          </w:rPr>
          <w:t>муниципальную</w:t>
        </w:r>
      </w:hyperlink>
      <w:r w:rsidR="005D6C2D"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5D6C2D">
        <w:rPr>
          <w:color w:val="2D2D2D"/>
          <w:spacing w:val="2"/>
          <w:sz w:val="28"/>
          <w:szCs w:val="28"/>
        </w:rPr>
        <w:t>утвержденную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r w:rsidR="005D6C2D">
        <w:rPr>
          <w:color w:val="2D2D2D"/>
          <w:spacing w:val="2"/>
          <w:sz w:val="28"/>
          <w:szCs w:val="28"/>
        </w:rPr>
        <w:t>12.11.2018г. № 38, изложив ее в новой редакции согласно приложению к настоящему постановлению</w:t>
      </w:r>
      <w:r w:rsidR="005D6C2D">
        <w:rPr>
          <w:sz w:val="28"/>
          <w:szCs w:val="28"/>
        </w:rPr>
        <w:t xml:space="preserve"> </w:t>
      </w:r>
    </w:p>
    <w:p w:rsidR="00E74808" w:rsidRDefault="00E74808" w:rsidP="00E74808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E74808" w:rsidRDefault="00E74808" w:rsidP="00E74808">
      <w:pPr>
        <w:ind w:firstLine="709"/>
        <w:rPr>
          <w:rFonts w:cs="Tahoma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  <w:r>
        <w:rPr>
          <w:rFonts w:cs="Tahoma"/>
          <w:sz w:val="28"/>
          <w:szCs w:val="28"/>
        </w:rPr>
        <w:t>.</w:t>
      </w:r>
    </w:p>
    <w:p w:rsidR="005270F9" w:rsidRPr="005B67F4" w:rsidRDefault="005270F9" w:rsidP="00E74808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0CB9">
        <w:rPr>
          <w:sz w:val="28"/>
          <w:szCs w:val="28"/>
        </w:rPr>
        <w:t>05.09.2019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2015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2015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</w:t>
      </w:r>
      <w:r w:rsidR="00580CB9">
        <w:rPr>
          <w:rFonts w:ascii="Times New Roman" w:hAnsi="Times New Roman" w:cs="Times New Roman"/>
          <w:sz w:val="28"/>
          <w:szCs w:val="28"/>
        </w:rPr>
        <w:t xml:space="preserve">  2,</w:t>
      </w:r>
      <w:r w:rsidR="008A4A14">
        <w:rPr>
          <w:rFonts w:ascii="Times New Roman" w:hAnsi="Times New Roman" w:cs="Times New Roman"/>
          <w:sz w:val="28"/>
          <w:szCs w:val="28"/>
        </w:rPr>
        <w:t>448</w:t>
      </w:r>
      <w:r w:rsidR="00580CB9">
        <w:rPr>
          <w:rFonts w:ascii="Times New Roman" w:hAnsi="Times New Roman" w:cs="Times New Roman"/>
          <w:sz w:val="28"/>
          <w:szCs w:val="28"/>
        </w:rPr>
        <w:t xml:space="preserve"> </w:t>
      </w:r>
      <w:r w:rsidRPr="002C1644">
        <w:rPr>
          <w:rFonts w:ascii="Times New Roman" w:hAnsi="Times New Roman" w:cs="Times New Roman"/>
          <w:sz w:val="28"/>
          <w:szCs w:val="28"/>
        </w:rPr>
        <w:t>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8A4A1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580CB9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300,0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D6C2D" w:rsidP="008A4A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4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E74808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D6C2D"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8A4A1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E74808">
              <w:rPr>
                <w:rFonts w:ascii="Times New Roman" w:hAnsi="Times New Roman" w:cs="Times New Roman"/>
                <w:b/>
                <w:sz w:val="26"/>
                <w:szCs w:val="26"/>
              </w:rPr>
              <w:t>2,</w:t>
            </w:r>
            <w:r w:rsidR="008A4A14">
              <w:rPr>
                <w:rFonts w:ascii="Times New Roman" w:hAnsi="Times New Roman" w:cs="Times New Roman"/>
                <w:b/>
                <w:sz w:val="26"/>
                <w:szCs w:val="26"/>
              </w:rPr>
              <w:t>448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67" w:rsidRDefault="003C1A67" w:rsidP="007D3BDD">
      <w:r>
        <w:separator/>
      </w:r>
    </w:p>
  </w:endnote>
  <w:endnote w:type="continuationSeparator" w:id="1">
    <w:p w:rsidR="003C1A67" w:rsidRDefault="003C1A67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67" w:rsidRDefault="003C1A67" w:rsidP="007D3BDD">
      <w:r>
        <w:separator/>
      </w:r>
    </w:p>
  </w:footnote>
  <w:footnote w:type="continuationSeparator" w:id="1">
    <w:p w:rsidR="003C1A67" w:rsidRDefault="003C1A67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4DB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590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0CB9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1B6F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A14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869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4547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808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01C4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28D0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KIVGEJFSQL2Ave4gkQEmSUvW2YQ71VxPekBBB412gTw=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Eb29aA6Fa4TrBZ2fNVjKyGCo+oyIo6VlGVkqYTIUvQAzoWyYrTgEfQvAkjN3/tmZFSrkaZJA
    Ee4uFG6lvuKpKQ==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ZDNOmmeeNL/3+VffMuLyfmHtzIw=</DigestValue>
      </Reference>
      <Reference URI="/word/document.xml?ContentType=application/vnd.openxmlformats-officedocument.wordprocessingml.document.main+xml">
        <DigestMethod Algorithm="http://www.w3.org/2000/09/xmldsig#sha1"/>
        <DigestValue>yZh6ARZLoCAA5k07G9eKkqYab24=</DigestValue>
      </Reference>
      <Reference URI="/word/endnotes.xml?ContentType=application/vnd.openxmlformats-officedocument.wordprocessingml.endnotes+xml">
        <DigestMethod Algorithm="http://www.w3.org/2000/09/xmldsig#sha1"/>
        <DigestValue>O0Cvo5G6/0UKSkLBxAtixyT8F7Y=</DigestValue>
      </Reference>
      <Reference URI="/word/fontTable.xml?ContentType=application/vnd.openxmlformats-officedocument.wordprocessingml.fontTable+xml">
        <DigestMethod Algorithm="http://www.w3.org/2000/09/xmldsig#sha1"/>
        <DigestValue>J9D3YOZKVEcY5VaeiIXW8AYurR8=</DigestValue>
      </Reference>
      <Reference URI="/word/footnotes.xml?ContentType=application/vnd.openxmlformats-officedocument.wordprocessingml.footnotes+xml">
        <DigestMethod Algorithm="http://www.w3.org/2000/09/xmldsig#sha1"/>
        <DigestValue>fVzDc5CzhwGO7iPMaZYTw5AEgdA=</DigestValue>
      </Reference>
      <Reference URI="/word/header1.xml?ContentType=application/vnd.openxmlformats-officedocument.wordprocessingml.header+xml">
        <DigestMethod Algorithm="http://www.w3.org/2000/09/xmldsig#sha1"/>
        <DigestValue>n1YLVwEoLWSNNDMaSz8dbTq4D+0=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2NlnP6/8WMoloMg0r5wwjSCYOM4=</DigestValue>
      </Reference>
      <Reference URI="/word/settings.xml?ContentType=application/vnd.openxmlformats-officedocument.wordprocessingml.settings+xml">
        <DigestMethod Algorithm="http://www.w3.org/2000/09/xmldsig#sha1"/>
        <DigestValue>PVo43SqhZqD21cMiQ3SxJuKEC2I=</DigestValue>
      </Reference>
      <Reference URI="/word/styles.xml?ContentType=application/vnd.openxmlformats-officedocument.wordprocessingml.styles+xml">
        <DigestMethod Algorithm="http://www.w3.org/2000/09/xmldsig#sha1"/>
        <DigestValue>KpvldB/C8vZWIRarV3AgWrz8TlQ=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0vdgTuqTpXLp9yJafTBLRHo2Y2Q=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20FA-5AF2-40AB-B617-2AD78C7C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3359</Words>
  <Characters>26759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2019-10-08T05:59:00Z</cp:lastPrinted>
  <dcterms:created xsi:type="dcterms:W3CDTF">2019-10-04T10:29:00Z</dcterms:created>
  <dcterms:modified xsi:type="dcterms:W3CDTF">2019-10-08T05:59:00Z</dcterms:modified>
</cp:coreProperties>
</file>